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A4770" w14:textId="77777777" w:rsidR="00AC70C9" w:rsidRPr="00AC70C9" w:rsidRDefault="00AC70C9" w:rsidP="00AC70C9">
      <w:pPr>
        <w:spacing w:after="0"/>
        <w:rPr>
          <w:rFonts w:asciiTheme="majorHAnsi" w:eastAsiaTheme="majorEastAsia" w:hAnsiTheme="majorHAnsi" w:cstheme="majorBidi"/>
          <w:color w:val="2F5496" w:themeColor="accent1" w:themeShade="BF"/>
          <w:sz w:val="28"/>
          <w:szCs w:val="28"/>
        </w:rPr>
      </w:pPr>
      <w:r w:rsidRPr="00AC70C9">
        <w:rPr>
          <w:rFonts w:asciiTheme="majorHAnsi" w:eastAsiaTheme="majorEastAsia" w:hAnsiTheme="majorHAnsi" w:cstheme="majorBidi"/>
          <w:color w:val="2F5496" w:themeColor="accent1" w:themeShade="BF"/>
          <w:sz w:val="28"/>
          <w:szCs w:val="28"/>
        </w:rPr>
        <w:t>O que é e como funciona o mercado futuro de Ibovespa?</w:t>
      </w:r>
    </w:p>
    <w:p w14:paraId="61C40124" w14:textId="77777777" w:rsidR="00782DE9" w:rsidRPr="00782DE9" w:rsidRDefault="00782DE9" w:rsidP="00782DE9">
      <w:pPr>
        <w:spacing w:after="0"/>
        <w:rPr>
          <w:rFonts w:asciiTheme="minorHAnsi" w:eastAsiaTheme="minorHAnsi" w:hAnsiTheme="minorHAnsi" w:cstheme="minorBidi"/>
          <w:b/>
          <w:i/>
          <w:lang w:eastAsia="en-US"/>
        </w:rPr>
      </w:pPr>
      <w:r w:rsidRPr="00782DE9">
        <w:rPr>
          <w:rFonts w:asciiTheme="minorHAnsi" w:eastAsiaTheme="minorHAnsi" w:hAnsiTheme="minorHAnsi" w:cstheme="minorBidi"/>
          <w:b/>
          <w:i/>
          <w:lang w:eastAsia="en-US"/>
        </w:rPr>
        <w:t>Futuros de Ibovespa são muito líquidos e oferecem estratégias diversas a um custo extremamente baixo</w:t>
      </w:r>
    </w:p>
    <w:p w14:paraId="3460AAF8" w14:textId="0F44445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38259CDF"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Olá, pessoal! Hoje vamos falar do mercado futuro de Ibovespa. Explicarei os conceitos fundamentais e como funciona um mercado futuro. Vamos lá?</w:t>
      </w:r>
    </w:p>
    <w:p w14:paraId="15FFEC35"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161574E3" w14:textId="24A3BDD4"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Futuros são contratos derivativos porque se apoiam em algum outro ativo, de modo que seus preços derivam dos preços desse ativo subjacente. Outros exemplos de contratos derivativos são as opções de compra (</w:t>
      </w:r>
      <w:proofErr w:type="spellStart"/>
      <w:r w:rsidRPr="00D95CFC">
        <w:rPr>
          <w:rFonts w:asciiTheme="minorHAnsi" w:eastAsiaTheme="minorHAnsi" w:hAnsiTheme="minorHAnsi" w:cstheme="minorBidi"/>
          <w:i/>
          <w:iCs/>
          <w:color w:val="000000" w:themeColor="text1"/>
          <w:lang w:eastAsia="en-US"/>
        </w:rPr>
        <w:t>calls</w:t>
      </w:r>
      <w:proofErr w:type="spellEnd"/>
      <w:r w:rsidRPr="00D95CFC">
        <w:rPr>
          <w:rFonts w:asciiTheme="minorHAnsi" w:eastAsiaTheme="minorHAnsi" w:hAnsiTheme="minorHAnsi" w:cstheme="minorBidi"/>
          <w:color w:val="000000" w:themeColor="text1"/>
          <w:lang w:eastAsia="en-US"/>
        </w:rPr>
        <w:t>), as opções de venda (</w:t>
      </w:r>
      <w:proofErr w:type="spellStart"/>
      <w:r w:rsidRPr="00D95CFC">
        <w:rPr>
          <w:rFonts w:asciiTheme="minorHAnsi" w:eastAsiaTheme="minorHAnsi" w:hAnsiTheme="minorHAnsi" w:cstheme="minorBidi"/>
          <w:i/>
          <w:iCs/>
          <w:color w:val="000000" w:themeColor="text1"/>
          <w:lang w:eastAsia="en-US"/>
        </w:rPr>
        <w:t>puts</w:t>
      </w:r>
      <w:proofErr w:type="spellEnd"/>
      <w:r w:rsidRPr="00D95CFC">
        <w:rPr>
          <w:rFonts w:asciiTheme="minorHAnsi" w:eastAsiaTheme="minorHAnsi" w:hAnsiTheme="minorHAnsi" w:cstheme="minorBidi"/>
          <w:color w:val="000000" w:themeColor="text1"/>
          <w:lang w:eastAsia="en-US"/>
        </w:rPr>
        <w:t xml:space="preserve">) e os contratos </w:t>
      </w:r>
      <w:r w:rsidRPr="00D95CFC">
        <w:rPr>
          <w:rFonts w:asciiTheme="minorHAnsi" w:eastAsiaTheme="minorHAnsi" w:hAnsiTheme="minorHAnsi" w:cstheme="minorBidi"/>
          <w:i/>
          <w:iCs/>
          <w:color w:val="000000" w:themeColor="text1"/>
          <w:lang w:eastAsia="en-US"/>
        </w:rPr>
        <w:t>swaps</w:t>
      </w:r>
      <w:r w:rsidRPr="00D95CFC">
        <w:rPr>
          <w:rFonts w:asciiTheme="minorHAnsi" w:eastAsiaTheme="minorHAnsi" w:hAnsiTheme="minorHAnsi" w:cstheme="minorBidi"/>
          <w:color w:val="000000" w:themeColor="text1"/>
          <w:lang w:eastAsia="en-US"/>
        </w:rPr>
        <w:t xml:space="preserve">. Sobre opções, já escrevi dois </w:t>
      </w:r>
      <w:r w:rsidR="00972FA2">
        <w:rPr>
          <w:rFonts w:asciiTheme="minorHAnsi" w:eastAsiaTheme="minorHAnsi" w:hAnsiTheme="minorHAnsi" w:cstheme="minorBidi"/>
          <w:color w:val="000000" w:themeColor="text1"/>
          <w:lang w:eastAsia="en-US"/>
        </w:rPr>
        <w:t>textos</w:t>
      </w:r>
      <w:r w:rsidRPr="00D95CFC">
        <w:rPr>
          <w:rFonts w:asciiTheme="minorHAnsi" w:eastAsiaTheme="minorHAnsi" w:hAnsiTheme="minorHAnsi" w:cstheme="minorBidi"/>
          <w:color w:val="000000" w:themeColor="text1"/>
          <w:lang w:eastAsia="en-US"/>
        </w:rPr>
        <w:t xml:space="preserve"> a respeito: o primeiro explica o bê-á-bá (</w:t>
      </w:r>
      <w:proofErr w:type="spellStart"/>
      <w:r w:rsidR="009E1C42" w:rsidRPr="00E16973">
        <w:rPr>
          <w:rFonts w:asciiTheme="minorHAnsi" w:eastAsiaTheme="minorHAnsi" w:hAnsiTheme="minorHAnsi" w:cstheme="minorBidi"/>
          <w:color w:val="000000" w:themeColor="text1"/>
          <w:lang w:eastAsia="en-US"/>
        </w:rPr>
        <w:t>Calls</w:t>
      </w:r>
      <w:proofErr w:type="spellEnd"/>
      <w:r w:rsidR="009E1C42" w:rsidRPr="00E16973">
        <w:rPr>
          <w:rFonts w:asciiTheme="minorHAnsi" w:eastAsiaTheme="minorHAnsi" w:hAnsiTheme="minorHAnsi" w:cstheme="minorBidi"/>
          <w:color w:val="000000" w:themeColor="text1"/>
          <w:lang w:eastAsia="en-US"/>
        </w:rPr>
        <w:t xml:space="preserve"> e </w:t>
      </w:r>
      <w:proofErr w:type="spellStart"/>
      <w:r w:rsidR="009E1C42" w:rsidRPr="00E16973">
        <w:rPr>
          <w:rFonts w:asciiTheme="minorHAnsi" w:eastAsiaTheme="minorHAnsi" w:hAnsiTheme="minorHAnsi" w:cstheme="minorBidi"/>
          <w:color w:val="000000" w:themeColor="text1"/>
          <w:lang w:eastAsia="en-US"/>
        </w:rPr>
        <w:t>Puts</w:t>
      </w:r>
      <w:proofErr w:type="spellEnd"/>
      <w:r w:rsidR="009E1C42" w:rsidRPr="00E16973">
        <w:rPr>
          <w:rFonts w:asciiTheme="minorHAnsi" w:eastAsiaTheme="minorHAnsi" w:hAnsiTheme="minorHAnsi" w:cstheme="minorBidi"/>
          <w:color w:val="000000" w:themeColor="text1"/>
          <w:lang w:eastAsia="en-US"/>
        </w:rPr>
        <w:t>: o que são opções?</w:t>
      </w:r>
      <w:r w:rsidRPr="00D95CFC">
        <w:rPr>
          <w:rFonts w:asciiTheme="minorHAnsi" w:eastAsiaTheme="minorHAnsi" w:hAnsiTheme="minorHAnsi" w:cstheme="minorBidi"/>
          <w:color w:val="000000" w:themeColor="text1"/>
          <w:lang w:eastAsia="en-US"/>
        </w:rPr>
        <w:t>) e o segundo compartilha dez diferentes estratégias com opções (</w:t>
      </w:r>
      <w:r w:rsidR="00AA2639" w:rsidRPr="00AA2639">
        <w:rPr>
          <w:rFonts w:asciiTheme="minorHAnsi" w:eastAsiaTheme="minorHAnsi" w:hAnsiTheme="minorHAnsi" w:cstheme="minorBidi"/>
          <w:color w:val="000000" w:themeColor="text1"/>
          <w:lang w:eastAsia="en-US"/>
        </w:rPr>
        <w:t>Dez estratégias bacanas com opções</w:t>
      </w:r>
      <w:r w:rsidRPr="00D95CFC">
        <w:rPr>
          <w:rFonts w:asciiTheme="minorHAnsi" w:eastAsiaTheme="minorHAnsi" w:hAnsiTheme="minorHAnsi" w:cstheme="minorBidi"/>
          <w:color w:val="000000" w:themeColor="text1"/>
          <w:lang w:eastAsia="en-US"/>
        </w:rPr>
        <w:t xml:space="preserve">). Já sobre </w:t>
      </w:r>
      <w:r w:rsidRPr="00D95CFC">
        <w:rPr>
          <w:rFonts w:asciiTheme="minorHAnsi" w:eastAsiaTheme="minorHAnsi" w:hAnsiTheme="minorHAnsi" w:cstheme="minorBidi"/>
          <w:i/>
          <w:iCs/>
          <w:color w:val="000000" w:themeColor="text1"/>
          <w:lang w:eastAsia="en-US"/>
        </w:rPr>
        <w:t>swaps</w:t>
      </w:r>
      <w:r w:rsidRPr="00D95CFC">
        <w:rPr>
          <w:rFonts w:asciiTheme="minorHAnsi" w:eastAsiaTheme="minorHAnsi" w:hAnsiTheme="minorHAnsi" w:cstheme="minorBidi"/>
          <w:color w:val="000000" w:themeColor="text1"/>
          <w:lang w:eastAsia="en-US"/>
        </w:rPr>
        <w:t>, pretendo escrever em breve.</w:t>
      </w:r>
    </w:p>
    <w:p w14:paraId="5031F4D1"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2789D34A"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Um contrato futuro é comumente negociado em bolsas de valores, tratando-se de um compromisso entre duas partes, segundo o qual uma delas se obriga a comprar determinada quantidade do ativo subjacente por um certo preço (o preço futuro) em uma data lá na frente. Naturalmente, a outra parte se obriga a vender o ativo subjacente. Na bolsa, não sabemos quem está na outra parte dos contratos que compramos ou vendemos, pois isso não tem importância: a bolsa e seus mecanismos de proteção asseguram que todos os contratos serão honrados. Há dois detalhes importantes sobre contratos futuros.</w:t>
      </w:r>
    </w:p>
    <w:p w14:paraId="6D7B7DCB"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3595D2A0"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 xml:space="preserve">O primeiro é que a maioria absoluta dos contratos futuros negociados em bolsas tem sua liquidação de forma estritamente financeira. Em outras palavras, não há de fato a compra e venda do ativo subjacente, mas simplesmente “quem perdeu paga para quem ganhou”. O segundo detalhe importante é que o preço futuro vai se ajustando diariamente de acordo com as expectativas do mercado, ou seja, de acordo com os negócios de compra e venda daquele contrato futuro. E isso gera algo importante conhecido como os ajustes diários dos contratos </w:t>
      </w:r>
      <w:r w:rsidRPr="00D95CFC">
        <w:rPr>
          <w:rFonts w:asciiTheme="minorHAnsi" w:eastAsiaTheme="minorHAnsi" w:hAnsiTheme="minorHAnsi" w:cstheme="minorBidi"/>
          <w:color w:val="000000" w:themeColor="text1"/>
          <w:lang w:eastAsia="en-US"/>
        </w:rPr>
        <w:lastRenderedPageBreak/>
        <w:t>futuros. Em suma, a cada dia o preço futuro do contrato é ajustado e “quem naquele dia venceu receberá o ajuste de quem perdeu.”</w:t>
      </w:r>
    </w:p>
    <w:p w14:paraId="4FBE23F5"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4C76540E"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A essa altura, sei que tudo pode parecer complicado, mas acredite: não é. Por esse motivo, irei focar a partir de agora em contratos futuros de Ibovespa para exemplificar e deixar claro os pontos acima, bem como todo o funcionamento desse mercado em seu dia a dia. Lembro que, na B3, há diversos contratos futuros negociados diariamente, tais como de dólar e outras moedas, commodities, tais como petróleo, soja e café, boi e até de algumas ações.</w:t>
      </w:r>
    </w:p>
    <w:p w14:paraId="7283860F"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3ABAD9A5"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Há dois tipos de contratos futuros de Ibovespa. Naturalmente, o principal índice da Bolsa (Ibovespa) é o ativo subjacente desses contratos, que atendem pelos símbolos INDX22 (contrato cheio) e WINX22 (minicontrato). Para o público amplo, o segundo é mais interessante por permitir valores menores, além de negociar com extrema liquidez. Por essa razão focarei nos minicontratos. Cada unidade de minicontrato tem como ativo subjacente, mais especificamente, a quantidade de pontos do índice Ibovespa multiplicada por R$ 0,20. No símbolo de negociação WINX22, os dois dígitos finais indicam o ano de vencimento do contrato. Já o X indica o mês de vencimento, que neste caso ocorre sempre nos meses pares do ano: G indica fevereiro, J indica abril, M indica junho, Q indica agosto, V indica outubro e Z indica dezembro. O dia específico de vencimento ocorre sempre na quarta-feira mais próxima do dia 15 ou no dia útil posterior, caso esta quarta-feira seja um feriado.</w:t>
      </w:r>
    </w:p>
    <w:p w14:paraId="2D3C73DF"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0335FF31"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 xml:space="preserve">O minicontrato futuro de Ibovespa mais líquido é sempre o do próximo vencimento: como estamos no final de abril, o próximo vencimento será no dia 15 de junho (coincidentemente, dia 15 de junho cai numa quarta-feira). Seu símbolo de negociação é WINM22. </w:t>
      </w:r>
      <w:proofErr w:type="gramStart"/>
      <w:r w:rsidRPr="00D95CFC">
        <w:rPr>
          <w:rFonts w:asciiTheme="minorHAnsi" w:eastAsiaTheme="minorHAnsi" w:hAnsiTheme="minorHAnsi" w:cstheme="minorBidi"/>
          <w:color w:val="000000" w:themeColor="text1"/>
          <w:lang w:eastAsia="en-US"/>
        </w:rPr>
        <w:t>No momento em que</w:t>
      </w:r>
      <w:proofErr w:type="gramEnd"/>
      <w:r w:rsidRPr="00D95CFC">
        <w:rPr>
          <w:rFonts w:asciiTheme="minorHAnsi" w:eastAsiaTheme="minorHAnsi" w:hAnsiTheme="minorHAnsi" w:cstheme="minorBidi"/>
          <w:color w:val="000000" w:themeColor="text1"/>
          <w:lang w:eastAsia="en-US"/>
        </w:rPr>
        <w:t xml:space="preserve"> escrevia este artigo, o preço futuro do Ibovespa girava em torno de 112 mil pontos, enquanto o Ibovespa à vista estava próximo de 110.700 pontos. Aqui já temos algo bem interessante: isso mostra que a expectativa de mercado para o preço futuro (em 15 de junho) do Ibovespa estava 1.300 pontos acima do valor atual, o que representa uma expectativa de valorização em torno de 1,2% em cerca de um mês e meio. Lembro que “a expectativa de </w:t>
      </w:r>
      <w:r w:rsidRPr="00D95CFC">
        <w:rPr>
          <w:rFonts w:asciiTheme="minorHAnsi" w:eastAsiaTheme="minorHAnsi" w:hAnsiTheme="minorHAnsi" w:cstheme="minorBidi"/>
          <w:color w:val="000000" w:themeColor="text1"/>
          <w:lang w:eastAsia="en-US"/>
        </w:rPr>
        <w:lastRenderedPageBreak/>
        <w:t>mercado”, nesse caso, se refere ao valor de equilíbrio entre aqueles que compram e vendem esses contratos futuros na B3.</w:t>
      </w:r>
    </w:p>
    <w:p w14:paraId="498BB1B9"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0F2DE585"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 xml:space="preserve">No contexto acima, imagine que eu entre comprando 5 minicontratos, o que representa um investimento futuro de “um Ibovespa” (5 vezes R$ 0,20 vezes a pontuação do Ibovespa). Já você resolve entrar vendendo “um Ibovespa” (ou seja, 5 minicontratos). Nós fizemos negociações ao mesmo preço futuro acima: 112.000 pontos. Note que eu (ponta comprada ou </w:t>
      </w:r>
      <w:proofErr w:type="spellStart"/>
      <w:r w:rsidRPr="00D95CFC">
        <w:rPr>
          <w:rFonts w:asciiTheme="minorHAnsi" w:eastAsiaTheme="minorHAnsi" w:hAnsiTheme="minorHAnsi" w:cstheme="minorBidi"/>
          <w:i/>
          <w:iCs/>
          <w:color w:val="000000" w:themeColor="text1"/>
          <w:lang w:eastAsia="en-US"/>
        </w:rPr>
        <w:t>long</w:t>
      </w:r>
      <w:proofErr w:type="spellEnd"/>
      <w:r w:rsidRPr="00D95CFC">
        <w:rPr>
          <w:rFonts w:asciiTheme="minorHAnsi" w:eastAsiaTheme="minorHAnsi" w:hAnsiTheme="minorHAnsi" w:cstheme="minorBidi"/>
          <w:color w:val="000000" w:themeColor="text1"/>
          <w:lang w:eastAsia="en-US"/>
        </w:rPr>
        <w:t xml:space="preserve">) especulo que, no dia 15 de junho, o Ibovespa estará acima de 112 mil pontos, ao passo que você (ponta vendida ou </w:t>
      </w:r>
      <w:r w:rsidRPr="00D95CFC">
        <w:rPr>
          <w:rFonts w:asciiTheme="minorHAnsi" w:eastAsiaTheme="minorHAnsi" w:hAnsiTheme="minorHAnsi" w:cstheme="minorBidi"/>
          <w:i/>
          <w:iCs/>
          <w:color w:val="000000" w:themeColor="text1"/>
          <w:lang w:eastAsia="en-US"/>
        </w:rPr>
        <w:t>short</w:t>
      </w:r>
      <w:r w:rsidRPr="00D95CFC">
        <w:rPr>
          <w:rFonts w:asciiTheme="minorHAnsi" w:eastAsiaTheme="minorHAnsi" w:hAnsiTheme="minorHAnsi" w:cstheme="minorBidi"/>
          <w:color w:val="000000" w:themeColor="text1"/>
          <w:lang w:eastAsia="en-US"/>
        </w:rPr>
        <w:t>) ganhará dinheiro nesta operação se este índice estiver abaixo dessa pontuação.</w:t>
      </w:r>
    </w:p>
    <w:p w14:paraId="6ECAEB97"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79BCFC9C"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Ao final de cada dia de negociações, a B3 calcula o preço futuro de ajuste para todos os seus contratos futuros. Note que esse preço futuro não é o último preço negociado, mas, sim, uma média ponderada dos valores negociados ao final do pregão (isso se justifica para que o último preço não seja o único determinante do preço de ajuste diário). Para efeito ilustrativo, suponha que o preço de ajuste no dia em que eu comprei e você vendeu os minicontratos tenha sido 12.500. Isso significa que eu ganhei R$ 500 (diferença entre o preço de ajuste e o preço futuro que comprei: 12.500 – 12.000) e você perdeu R$ 500. No dia seguinte, devido a esse ajuste, sua conta margem será debitada em R$ 500 e a minha conta margem, creditada em R$ 500. Como disse antes, esse ajuste é totalmente financeiro, de modo que não há fluxo do ativo subjacente, mas apenas fluxo de dinheiro nas contas margens.</w:t>
      </w:r>
    </w:p>
    <w:p w14:paraId="6233D725"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79D184A0" w14:textId="77777777" w:rsidR="00D95CFC" w:rsidRPr="00D95CFC" w:rsidRDefault="00D95CFC" w:rsidP="00D95CFC">
      <w:pPr>
        <w:spacing w:after="0"/>
        <w:rPr>
          <w:rFonts w:asciiTheme="minorHAnsi" w:eastAsiaTheme="minorHAnsi" w:hAnsiTheme="minorHAnsi" w:cstheme="minorBidi"/>
          <w:color w:val="000000" w:themeColor="text1"/>
          <w:lang w:eastAsia="en-US"/>
        </w:rPr>
      </w:pPr>
      <w:proofErr w:type="spellStart"/>
      <w:r w:rsidRPr="00D95CFC">
        <w:rPr>
          <w:rFonts w:asciiTheme="minorHAnsi" w:eastAsiaTheme="minorHAnsi" w:hAnsiTheme="minorHAnsi" w:cstheme="minorBidi"/>
          <w:color w:val="000000" w:themeColor="text1"/>
          <w:lang w:eastAsia="en-US"/>
        </w:rPr>
        <w:t>Ops</w:t>
      </w:r>
      <w:proofErr w:type="spellEnd"/>
      <w:r w:rsidRPr="00D95CFC">
        <w:rPr>
          <w:rFonts w:asciiTheme="minorHAnsi" w:eastAsiaTheme="minorHAnsi" w:hAnsiTheme="minorHAnsi" w:cstheme="minorBidi"/>
          <w:color w:val="000000" w:themeColor="text1"/>
          <w:lang w:eastAsia="en-US"/>
        </w:rPr>
        <w:t xml:space="preserve">, me desculpem! Falei num troço chamado “conta margem” sem explicar né? Pois é, esse é um conceito importantíssimo. Ao comprar um contrato futuro, tecnicamente eu não estou gastando um centavo porque o meu compromisso é de comprar algo em uma data futura, não hoje. Na verdade, pago apenas as taxas da bolsa e da corretora, que correspondem a um montante extremamente </w:t>
      </w:r>
      <w:proofErr w:type="spellStart"/>
      <w:r w:rsidRPr="00D95CFC">
        <w:rPr>
          <w:rFonts w:asciiTheme="minorHAnsi" w:eastAsiaTheme="minorHAnsi" w:hAnsiTheme="minorHAnsi" w:cstheme="minorBidi"/>
          <w:color w:val="000000" w:themeColor="text1"/>
          <w:lang w:eastAsia="en-US"/>
        </w:rPr>
        <w:t>baixo</w:t>
      </w:r>
      <w:proofErr w:type="spellEnd"/>
      <w:r w:rsidRPr="00D95CFC">
        <w:rPr>
          <w:rFonts w:asciiTheme="minorHAnsi" w:eastAsiaTheme="minorHAnsi" w:hAnsiTheme="minorHAnsi" w:cstheme="minorBidi"/>
          <w:color w:val="000000" w:themeColor="text1"/>
          <w:lang w:eastAsia="en-US"/>
        </w:rPr>
        <w:t xml:space="preserve"> quando comparado ao montante envolvido. Imagine então que eu compre “um milhão de </w:t>
      </w:r>
      <w:proofErr w:type="spellStart"/>
      <w:r w:rsidRPr="00D95CFC">
        <w:rPr>
          <w:rFonts w:asciiTheme="minorHAnsi" w:eastAsiaTheme="minorHAnsi" w:hAnsiTheme="minorHAnsi" w:cstheme="minorBidi"/>
          <w:color w:val="000000" w:themeColor="text1"/>
          <w:lang w:eastAsia="en-US"/>
        </w:rPr>
        <w:t>Ibovespas</w:t>
      </w:r>
      <w:proofErr w:type="spellEnd"/>
      <w:r w:rsidRPr="00D95CFC">
        <w:rPr>
          <w:rFonts w:asciiTheme="minorHAnsi" w:eastAsiaTheme="minorHAnsi" w:hAnsiTheme="minorHAnsi" w:cstheme="minorBidi"/>
          <w:color w:val="000000" w:themeColor="text1"/>
          <w:lang w:eastAsia="en-US"/>
        </w:rPr>
        <w:t>” através de contratos futuros e o mercado desanda contra mim. Eu não teria dinheiro para honrar minha perda e isso deixaria o mercado com um risco incalculável de calote.</w:t>
      </w:r>
    </w:p>
    <w:p w14:paraId="75D9D453"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40B36B10"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Para evitar justamente essa situação, há a conta margem, que é assim chamada por ficar à margem da sua conta principal, ou seja, bloqueada. Ali, a sua corretora exigirá um valor compatível com o investimento futuro total subjacente. Por exemplo, a minha corretora exige 15% do valor total dos contratos futuros depositados em conta margem. Esse montante serve como garantia de que honrarei minhas eventuais perdas. Com o tempo, se nos ajustes diários eu perder sucessivamente, a minha conta margem será tão debitada que serei “chamado na margem”. Ser chamado na margem significa dizer que a corretora exigirá que eu deposite um valor adicional para continuar garantindo os contratos futuros que tenho. Caso eu não faça esse depósito, a corretora descontinuará a minha posição e o jogo termina para mim, com realização da perda. Todo esse contexto de conta margem é obviamente o mesmo para a ponta vendida.</w:t>
      </w:r>
    </w:p>
    <w:p w14:paraId="3E1F28D8"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4C6EACC0"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Perceba que contratos futuros permitem alavancagem financeira, que nesse caso se traduz pela possibilidade de especular sobre um montante principal qualquer, precisando ter na conta margem apenas 15% deste montante. E a maioria das corretoras aceitam como depósitos de garantia em conta margem outros ativos de enorme liquidez, tais como títulos do Tesouro Direto, alguns CDBs e até algumas ações. Isso faz com que não precisemos ter o dinheiro de fato para investir no mercado futuro, o que torna nossa alavancagem ainda maior. Porém, é importantíssimo ter muita cautela e conhecimento nesse mercado, pois toda alavancagem ao mesmo tempo que indica possibilidade de ganhos interessantes, indica igualmente chance de perdas catastróficas. A esse respeito, escreverei em maio próximo acerca de possíveis estratégias envolvendo contratos futuros. Eles permitem algumas coisas bem legais!</w:t>
      </w:r>
    </w:p>
    <w:p w14:paraId="4CE62A20"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34EAE870"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 xml:space="preserve">Pessoal, voltando ao nosso exemplo ilustrativo, essa dinâmica de ajustes ocorre todos os dias, com um preço futuro de ajuste que determina o seu ganho ou perda naquele dia, gerando movimentações na sua conta margem a mais ou a menos, respectivamente. Todo esse processo termina de duas maneiras possíveis. Se você permanecer comprado ou vendido no contrato futuro até o seu vencimento, o último ajuste diário se dará exatamente nesta data e </w:t>
      </w:r>
      <w:r w:rsidRPr="00D95CFC">
        <w:rPr>
          <w:rFonts w:asciiTheme="minorHAnsi" w:eastAsiaTheme="minorHAnsi" w:hAnsiTheme="minorHAnsi" w:cstheme="minorBidi"/>
          <w:color w:val="000000" w:themeColor="text1"/>
          <w:lang w:eastAsia="en-US"/>
        </w:rPr>
        <w:lastRenderedPageBreak/>
        <w:t xml:space="preserve">os contratos são encerrados. Mas você não é obrigado a esperar pelo vencimento, podendo se desfazer dos contratos com uma negociação oposta à original. Assim, se comprei 5 minicontratos futuros, devo vendê-los. Se você os vendeu, deve comprá-los (obviamente na mesma quantidade). Nesse caso, o último ajuste diário se dará pelo preço futuro negociado nesta operação que encerra sua posição. Em ambas as situações, o seu </w:t>
      </w:r>
      <w:proofErr w:type="gramStart"/>
      <w:r w:rsidRPr="00D95CFC">
        <w:rPr>
          <w:rFonts w:asciiTheme="minorHAnsi" w:eastAsiaTheme="minorHAnsi" w:hAnsiTheme="minorHAnsi" w:cstheme="minorBidi"/>
          <w:color w:val="000000" w:themeColor="text1"/>
          <w:lang w:eastAsia="en-US"/>
        </w:rPr>
        <w:t>resultado final</w:t>
      </w:r>
      <w:proofErr w:type="gramEnd"/>
      <w:r w:rsidRPr="00D95CFC">
        <w:rPr>
          <w:rFonts w:asciiTheme="minorHAnsi" w:eastAsiaTheme="minorHAnsi" w:hAnsiTheme="minorHAnsi" w:cstheme="minorBidi"/>
          <w:color w:val="000000" w:themeColor="text1"/>
          <w:lang w:eastAsia="en-US"/>
        </w:rPr>
        <w:t xml:space="preserve"> será a soma de todos os ajustes diários e, em caso de lucro, haverá fato gerador de imposto que, se não devidamente compensado com prejuízos, deverá ser pago no mês seguinte através de um DARF 6015 (imposto sobre ganhos líquidos em operações em bolsa para pessoa física).</w:t>
      </w:r>
    </w:p>
    <w:p w14:paraId="32E3F039"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6D8384E2"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Ficou tudo claro? Procurei explicar da melhor forma que encontrei, mas caso você tenha ficado com dúvidas, não hesite em entrar em contato comigo nas redes sociais Linkedin e Instagram @carlosheitorcampani. Ficarei muito feliz pela oportunidade de explicar novamente o que for necessário ou mesmo tirar dúvidas de conteúdos não abordados especificamente neste artigo.</w:t>
      </w:r>
    </w:p>
    <w:p w14:paraId="698DCB8F" w14:textId="77777777" w:rsidR="00D95CFC" w:rsidRPr="00D95CFC" w:rsidRDefault="00D95CFC" w:rsidP="00D95CFC">
      <w:pPr>
        <w:spacing w:after="0"/>
        <w:rPr>
          <w:rFonts w:asciiTheme="minorHAnsi" w:eastAsiaTheme="minorHAnsi" w:hAnsiTheme="minorHAnsi" w:cstheme="minorBidi"/>
          <w:color w:val="000000" w:themeColor="text1"/>
          <w:lang w:eastAsia="en-US"/>
        </w:rPr>
      </w:pPr>
    </w:p>
    <w:p w14:paraId="7FC717B8" w14:textId="77777777" w:rsidR="00D95CFC" w:rsidRPr="00D95CFC" w:rsidRDefault="00D95CFC" w:rsidP="00D95CFC">
      <w:pPr>
        <w:spacing w:after="0"/>
        <w:rPr>
          <w:rFonts w:asciiTheme="minorHAnsi" w:eastAsiaTheme="minorHAnsi" w:hAnsiTheme="minorHAnsi" w:cstheme="minorBidi"/>
          <w:color w:val="000000" w:themeColor="text1"/>
          <w:lang w:eastAsia="en-US"/>
        </w:rPr>
      </w:pPr>
      <w:r w:rsidRPr="00D95CFC">
        <w:rPr>
          <w:rFonts w:asciiTheme="minorHAnsi" w:eastAsiaTheme="minorHAnsi" w:hAnsiTheme="minorHAnsi" w:cstheme="minorBidi"/>
          <w:color w:val="000000" w:themeColor="text1"/>
          <w:lang w:eastAsia="en-US"/>
        </w:rPr>
        <w:t>Forte e respeitoso abraço a todos.</w:t>
      </w:r>
    </w:p>
    <w:p w14:paraId="22F1ECF5" w14:textId="77777777" w:rsidR="0079677D" w:rsidRPr="00DF5586" w:rsidRDefault="0079677D" w:rsidP="00DF5586">
      <w:pPr>
        <w:spacing w:after="0"/>
        <w:rPr>
          <w:rFonts w:asciiTheme="minorHAnsi" w:eastAsiaTheme="minorHAnsi" w:hAnsiTheme="minorHAnsi" w:cstheme="minorBidi"/>
          <w:color w:val="000000" w:themeColor="text1"/>
          <w:lang w:eastAsia="en-US"/>
        </w:rPr>
      </w:pPr>
    </w:p>
    <w:p w14:paraId="1EC55CC6" w14:textId="72A67275" w:rsidR="00BE797C" w:rsidRPr="00BE797C" w:rsidRDefault="00A64B64" w:rsidP="00862BAF">
      <w:pPr>
        <w:spacing w:after="0"/>
      </w:pPr>
      <w:r w:rsidRPr="005C7A11">
        <w:rPr>
          <w:rFonts w:asciiTheme="minorHAnsi" w:eastAsiaTheme="minorHAnsi" w:hAnsiTheme="minorHAnsi" w:cstheme="minorBidi"/>
          <w:b/>
          <w:i/>
          <w:lang w:eastAsia="en-US"/>
        </w:rPr>
        <w:t>* </w:t>
      </w:r>
      <w:r w:rsidR="00CD13FD" w:rsidRPr="00CD13FD">
        <w:rPr>
          <w:rFonts w:asciiTheme="minorHAnsi" w:eastAsiaTheme="minorHAnsi" w:hAnsiTheme="minorHAnsi" w:cstheme="minorBidi"/>
          <w:b/>
          <w:i/>
          <w:lang w:eastAsia="en-US"/>
        </w:rPr>
        <w:t xml:space="preserve">Carlos Heitor Campani é PhD em Finanças, Diretor Acadêmico da </w:t>
      </w:r>
      <w:proofErr w:type="spellStart"/>
      <w:r w:rsidR="00CD13FD" w:rsidRPr="00CD13FD">
        <w:rPr>
          <w:rFonts w:asciiTheme="minorHAnsi" w:eastAsiaTheme="minorHAnsi" w:hAnsiTheme="minorHAnsi" w:cstheme="minorBidi"/>
          <w:b/>
          <w:i/>
          <w:lang w:eastAsia="en-US"/>
        </w:rPr>
        <w:t>iluminus</w:t>
      </w:r>
      <w:proofErr w:type="spellEnd"/>
      <w:r w:rsidR="00CD13FD" w:rsidRPr="00CD13FD">
        <w:rPr>
          <w:rFonts w:asciiTheme="minorHAnsi" w:eastAsiaTheme="minorHAnsi" w:hAnsiTheme="minorHAnsi" w:cstheme="minorBidi"/>
          <w:b/>
          <w:i/>
          <w:lang w:eastAsia="en-US"/>
        </w:rPr>
        <w:t xml:space="preserve"> – Academia de Finanças e sócio fundador da CHC </w:t>
      </w:r>
      <w:proofErr w:type="spellStart"/>
      <w:r w:rsidR="00CD13FD" w:rsidRPr="00CD13FD">
        <w:rPr>
          <w:rFonts w:asciiTheme="minorHAnsi" w:eastAsiaTheme="minorHAnsi" w:hAnsiTheme="minorHAnsi" w:cstheme="minorBidi"/>
          <w:b/>
          <w:i/>
          <w:lang w:eastAsia="en-US"/>
        </w:rPr>
        <w:t>Finance</w:t>
      </w:r>
      <w:proofErr w:type="spellEnd"/>
      <w:r w:rsidR="00CD13FD" w:rsidRPr="00CD13FD">
        <w:rPr>
          <w:rFonts w:asciiTheme="minorHAnsi" w:eastAsiaTheme="minorHAnsi" w:hAnsiTheme="minorHAnsi" w:cstheme="minorBidi"/>
          <w:b/>
          <w:i/>
          <w:lang w:eastAsia="en-US"/>
        </w:rPr>
        <w:t xml:space="preserve">. Ele pode ser encontrado em </w:t>
      </w:r>
      <w:hyperlink r:id="rId8" w:history="1">
        <w:r w:rsidR="00CD13FD" w:rsidRPr="00CD13FD">
          <w:rPr>
            <w:rStyle w:val="Hyperlink"/>
            <w:rFonts w:asciiTheme="minorHAnsi" w:eastAsiaTheme="minorHAnsi" w:hAnsiTheme="minorHAnsi" w:cstheme="minorBidi"/>
            <w:b/>
            <w:i/>
            <w:lang w:eastAsia="en-US"/>
          </w:rPr>
          <w:t>www.carlosheitorcampani.com</w:t>
        </w:r>
      </w:hyperlink>
      <w:r w:rsidR="00CD13FD" w:rsidRPr="00CD13FD">
        <w:rPr>
          <w:rFonts w:asciiTheme="minorHAnsi" w:eastAsiaTheme="minorHAnsi" w:hAnsiTheme="minorHAnsi" w:cstheme="minorBidi"/>
          <w:b/>
          <w:i/>
          <w:lang w:eastAsia="en-US"/>
        </w:rPr>
        <w:t xml:space="preserve"> e nas redes sociais: @carlosheitorcampani.</w:t>
      </w:r>
    </w:p>
    <w:sectPr w:rsidR="00BE797C" w:rsidRPr="00BE797C" w:rsidSect="00BA4B09">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EA7C5" w14:textId="77777777" w:rsidR="00E92382" w:rsidRDefault="00E92382" w:rsidP="004D2193">
      <w:r>
        <w:separator/>
      </w:r>
    </w:p>
  </w:endnote>
  <w:endnote w:type="continuationSeparator" w:id="0">
    <w:p w14:paraId="477F83B5" w14:textId="77777777" w:rsidR="00E92382" w:rsidRDefault="00E9238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78A48372" w:rsidR="00E010F7" w:rsidRDefault="00914C7F" w:rsidP="004D2193">
    <w:r>
      <w:rPr>
        <w:noProof/>
      </w:rPr>
      <mc:AlternateContent>
        <mc:Choice Requires="wps">
          <w:drawing>
            <wp:anchor distT="0" distB="0" distL="114300" distR="114300" simplePos="0" relativeHeight="251659776" behindDoc="0" locked="0" layoutInCell="1" allowOverlap="1" wp14:anchorId="5A53AA84" wp14:editId="7985F4A3">
              <wp:simplePos x="0" y="0"/>
              <wp:positionH relativeFrom="margin">
                <wp:posOffset>2071370</wp:posOffset>
              </wp:positionH>
              <wp:positionV relativeFrom="paragraph">
                <wp:posOffset>330200</wp:posOffset>
              </wp:positionV>
              <wp:extent cx="1958196" cy="422694"/>
              <wp:effectExtent l="0" t="0" r="0" b="0"/>
              <wp:wrapNone/>
              <wp:docPr id="1585669760" name="Caixa de Texto 158566976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4EC3D24" w14:textId="77777777" w:rsidR="00914C7F" w:rsidRDefault="00914C7F" w:rsidP="00914C7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5F239E9" w14:textId="77777777" w:rsidR="00914C7F" w:rsidRPr="00FC6403" w:rsidRDefault="00914C7F" w:rsidP="00914C7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3AA84" id="_x0000_t202" coordsize="21600,21600" o:spt="202" path="m,l,21600r21600,l21600,xe">
              <v:stroke joinstyle="miter"/>
              <v:path gradientshapeok="t" o:connecttype="rect"/>
            </v:shapetype>
            <v:shape id="Caixa de Texto 1585669760" o:spid="_x0000_s1026" type="#_x0000_t202" style="position:absolute;left:0;text-align:left;margin-left:163.1pt;margin-top:26pt;width:154.2pt;height:3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" filled="f" stroked="f" strokeweight=".5pt">
              <v:textbox>
                <w:txbxContent>
                  <w:p w14:paraId="14EC3D24" w14:textId="77777777" w:rsidR="00914C7F" w:rsidRDefault="00914C7F" w:rsidP="00914C7F">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45F239E9" w14:textId="77777777" w:rsidR="00914C7F" w:rsidRPr="00FC6403" w:rsidRDefault="00914C7F" w:rsidP="00914C7F">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2DBE4053" w:rsidR="00E010F7" w:rsidRDefault="00BA4B09" w:rsidP="004D2193">
    <w:r>
      <w:rPr>
        <w:noProof/>
      </w:rPr>
      <mc:AlternateContent>
        <mc:Choice Requires="wps">
          <w:drawing>
            <wp:anchor distT="0" distB="0" distL="114300" distR="114300" simplePos="0" relativeHeight="251657728" behindDoc="0" locked="0" layoutInCell="1" allowOverlap="1" wp14:anchorId="76B680EC" wp14:editId="39BE6575">
              <wp:simplePos x="0" y="0"/>
              <wp:positionH relativeFrom="margin">
                <wp:posOffset>2146300</wp:posOffset>
              </wp:positionH>
              <wp:positionV relativeFrom="paragraph">
                <wp:posOffset>304800</wp:posOffset>
              </wp:positionV>
              <wp:extent cx="1958196" cy="422694"/>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ACA9F0E" w14:textId="77777777" w:rsidR="00BA4B09" w:rsidRDefault="00BA4B09" w:rsidP="00BA4B0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A44D579" w14:textId="77777777" w:rsidR="00BA4B09" w:rsidRPr="00FC6403" w:rsidRDefault="00BA4B09" w:rsidP="00BA4B0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680EC" id="_x0000_t202" coordsize="21600,21600" o:spt="202" path="m,l,21600r21600,l21600,xe">
              <v:stroke joinstyle="miter"/>
              <v:path gradientshapeok="t" o:connecttype="rect"/>
            </v:shapetype>
            <v:shape id="Caixa de Texto 10" o:spid="_x0000_s1027" type="#_x0000_t202" style="position:absolute;left:0;text-align:left;margin-left:169pt;margin-top:24pt;width:154.2pt;height:33.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1uGQIAADM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" filled="f" stroked="f" strokeweight=".5pt">
              <v:textbox>
                <w:txbxContent>
                  <w:p w14:paraId="5ACA9F0E" w14:textId="77777777" w:rsidR="00BA4B09" w:rsidRDefault="00BA4B09" w:rsidP="00BA4B0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A44D579" w14:textId="77777777" w:rsidR="00BA4B09" w:rsidRPr="00FC6403" w:rsidRDefault="00BA4B09" w:rsidP="00BA4B0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6A097" w14:textId="77777777" w:rsidR="00E92382" w:rsidRDefault="00E92382" w:rsidP="004D2193">
      <w:r>
        <w:separator/>
      </w:r>
    </w:p>
  </w:footnote>
  <w:footnote w:type="continuationSeparator" w:id="0">
    <w:p w14:paraId="34394C12" w14:textId="77777777" w:rsidR="00E92382" w:rsidRDefault="00E9238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CD13FD"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680;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DDCC3B8" w:rsidR="00E010F7" w:rsidRDefault="00CE101A" w:rsidP="00866539">
    <w:pPr>
      <w:ind w:right="360"/>
    </w:pPr>
    <w:r w:rsidRPr="000C59A7">
      <w:rPr>
        <w:noProof/>
      </w:rPr>
      <w:drawing>
        <wp:anchor distT="0" distB="0" distL="114300" distR="114300" simplePos="0" relativeHeight="251658752" behindDoc="0" locked="0" layoutInCell="1" allowOverlap="1" wp14:anchorId="64A949F4" wp14:editId="3BC08B75">
          <wp:simplePos x="0" y="0"/>
          <wp:positionH relativeFrom="margin">
            <wp:posOffset>2247900</wp:posOffset>
          </wp:positionH>
          <wp:positionV relativeFrom="paragraph">
            <wp:posOffset>-330835</wp:posOffset>
          </wp:positionV>
          <wp:extent cx="1781503" cy="413533"/>
          <wp:effectExtent l="0" t="0" r="0" b="5715"/>
          <wp:wrapNone/>
          <wp:docPr id="537751895"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656" behindDoc="1" locked="0" layoutInCell="1" allowOverlap="1" wp14:anchorId="2A059F36" wp14:editId="5985C6A9">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3852A838" w:rsidR="004327E5" w:rsidRDefault="00CE1A16">
    <w:pPr>
      <w:pStyle w:val="Header"/>
    </w:pPr>
    <w:r w:rsidRPr="000C59A7">
      <w:rPr>
        <w:noProof/>
      </w:rPr>
      <w:drawing>
        <wp:anchor distT="0" distB="0" distL="114300" distR="114300" simplePos="0" relativeHeight="251656704" behindDoc="0" locked="0" layoutInCell="1" allowOverlap="1" wp14:anchorId="6D91C19A" wp14:editId="60E4A880">
          <wp:simplePos x="0" y="0"/>
          <wp:positionH relativeFrom="margin">
            <wp:posOffset>2146300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BE797C">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0EF"/>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3C18"/>
    <w:rsid w:val="00315C75"/>
    <w:rsid w:val="003346F3"/>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49B6"/>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065D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E5C26"/>
    <w:rsid w:val="008F22F2"/>
    <w:rsid w:val="00903689"/>
    <w:rsid w:val="009041E2"/>
    <w:rsid w:val="00905371"/>
    <w:rsid w:val="00906FE1"/>
    <w:rsid w:val="009110B4"/>
    <w:rsid w:val="0091331F"/>
    <w:rsid w:val="00914C7F"/>
    <w:rsid w:val="009171A8"/>
    <w:rsid w:val="00921B19"/>
    <w:rsid w:val="00930B67"/>
    <w:rsid w:val="009406AD"/>
    <w:rsid w:val="0094116A"/>
    <w:rsid w:val="00951B9F"/>
    <w:rsid w:val="00960212"/>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2639"/>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A4B09"/>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13FD"/>
    <w:rsid w:val="00CD68F7"/>
    <w:rsid w:val="00CE101A"/>
    <w:rsid w:val="00CE11C8"/>
    <w:rsid w:val="00CE1A16"/>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95CFC"/>
    <w:rsid w:val="00DA2777"/>
    <w:rsid w:val="00DA45AB"/>
    <w:rsid w:val="00DB6548"/>
    <w:rsid w:val="00DC54A2"/>
    <w:rsid w:val="00DC6185"/>
    <w:rsid w:val="00DD31AB"/>
    <w:rsid w:val="00DF49AB"/>
    <w:rsid w:val="00DF5586"/>
    <w:rsid w:val="00E010F7"/>
    <w:rsid w:val="00E0410B"/>
    <w:rsid w:val="00E100FD"/>
    <w:rsid w:val="00E14BBA"/>
    <w:rsid w:val="00E16973"/>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1501</Words>
  <Characters>8560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9</cp:revision>
  <dcterms:created xsi:type="dcterms:W3CDTF">2023-05-11T14:20:00Z</dcterms:created>
  <dcterms:modified xsi:type="dcterms:W3CDTF">2024-10-28T14:20:00Z</dcterms:modified>
</cp:coreProperties>
</file>