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038E6" w14:textId="043B46EE" w:rsidR="00264728" w:rsidRPr="00264728" w:rsidRDefault="00B66CF5" w:rsidP="00950ECA">
      <w:pPr>
        <w:keepNext/>
        <w:keepLines/>
        <w:spacing w:line="240" w:lineRule="auto"/>
        <w:ind w:left="446"/>
        <w:outlineLvl w:val="0"/>
        <w:rPr>
          <w:rFonts w:ascii="Calibri Light" w:hAnsi="Calibri Light" w:cs="Times New Roman"/>
          <w:bCs/>
          <w:color w:val="2E74B5"/>
          <w:sz w:val="32"/>
          <w:szCs w:val="32"/>
          <w:lang w:eastAsia="en-US"/>
        </w:rPr>
      </w:pPr>
      <w:r>
        <w:rPr>
          <w:rFonts w:ascii="Calibri Light" w:hAnsi="Calibri Light" w:cs="Times New Roman"/>
          <w:color w:val="2E74B5"/>
          <w:sz w:val="32"/>
          <w:szCs w:val="32"/>
          <w:lang w:eastAsia="en-US"/>
        </w:rPr>
        <w:t>Você sabe o que é um FI Infra?</w:t>
      </w:r>
      <w:r w:rsidR="00305AE4">
        <w:rPr>
          <w:rFonts w:ascii="Calibri Light" w:hAnsi="Calibri Light" w:cs="Times New Roman"/>
          <w:color w:val="2E74B5"/>
          <w:sz w:val="32"/>
          <w:szCs w:val="32"/>
          <w:lang w:eastAsia="en-US"/>
        </w:rPr>
        <w:t xml:space="preserve"> </w:t>
      </w:r>
      <w:r w:rsidR="00950ECA">
        <w:rPr>
          <w:rFonts w:ascii="Calibri Light" w:hAnsi="Calibri Light" w:cs="Times New Roman"/>
          <w:color w:val="2E74B5"/>
          <w:sz w:val="32"/>
          <w:szCs w:val="32"/>
          <w:lang w:eastAsia="en-US"/>
        </w:rPr>
        <w:t>Conheça esses fundos negociados em bolsa totalmente isentos de IR!</w:t>
      </w:r>
    </w:p>
    <w:p w14:paraId="481C197E" w14:textId="77777777" w:rsidR="005322D0" w:rsidRPr="00E53599" w:rsidRDefault="005322D0" w:rsidP="00810C8C">
      <w:pPr>
        <w:spacing w:after="0"/>
        <w:ind w:left="36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3E3EE348" w14:textId="77777777" w:rsidR="0071340A" w:rsidRPr="0071340A" w:rsidRDefault="0071340A" w:rsidP="0071340A">
      <w:pPr>
        <w:spacing w:after="0"/>
        <w:rPr>
          <w:rFonts w:asciiTheme="minorHAnsi" w:eastAsiaTheme="minorHAnsi" w:hAnsiTheme="minorHAnsi" w:cstheme="minorBidi"/>
          <w:b/>
          <w:bCs/>
          <w:color w:val="000000" w:themeColor="text1"/>
          <w:lang w:eastAsia="en-US"/>
        </w:rPr>
      </w:pPr>
    </w:p>
    <w:p w14:paraId="4E281E40" w14:textId="737F83D9" w:rsidR="00D4083E" w:rsidRDefault="00D4083E" w:rsidP="00D4083E">
      <w:pPr>
        <w:spacing w:after="0"/>
        <w:rPr>
          <w:rFonts w:asciiTheme="minorHAnsi" w:eastAsiaTheme="minorHAnsi" w:hAnsiTheme="minorHAnsi" w:cstheme="minorBidi"/>
          <w:color w:val="000000" w:themeColor="text1"/>
          <w:lang w:eastAsia="en-US"/>
        </w:rPr>
      </w:pPr>
      <w:r w:rsidRPr="00D4083E">
        <w:rPr>
          <w:rFonts w:asciiTheme="minorHAnsi" w:eastAsiaTheme="minorHAnsi" w:hAnsiTheme="minorHAnsi" w:cstheme="minorBidi"/>
          <w:color w:val="000000" w:themeColor="text1"/>
          <w:lang w:eastAsia="en-US"/>
        </w:rPr>
        <w:t xml:space="preserve">Olá, pessoal! Convidei a Camila Affonso, sócia do </w:t>
      </w:r>
      <w:proofErr w:type="spellStart"/>
      <w:r w:rsidRPr="00D4083E">
        <w:rPr>
          <w:rFonts w:asciiTheme="minorHAnsi" w:eastAsiaTheme="minorHAnsi" w:hAnsiTheme="minorHAnsi" w:cstheme="minorBidi"/>
          <w:color w:val="000000" w:themeColor="text1"/>
          <w:lang w:eastAsia="en-US"/>
        </w:rPr>
        <w:t>Leggio</w:t>
      </w:r>
      <w:proofErr w:type="spellEnd"/>
      <w:r w:rsidRPr="00D4083E">
        <w:rPr>
          <w:rFonts w:asciiTheme="minorHAnsi" w:eastAsiaTheme="minorHAnsi" w:hAnsiTheme="minorHAnsi" w:cstheme="minorBidi"/>
          <w:color w:val="000000" w:themeColor="text1"/>
          <w:lang w:eastAsia="en-US"/>
        </w:rPr>
        <w:t xml:space="preserve"> </w:t>
      </w:r>
      <w:proofErr w:type="spellStart"/>
      <w:r w:rsidRPr="00D4083E">
        <w:rPr>
          <w:rFonts w:asciiTheme="minorHAnsi" w:eastAsiaTheme="minorHAnsi" w:hAnsiTheme="minorHAnsi" w:cstheme="minorBidi"/>
          <w:color w:val="000000" w:themeColor="text1"/>
          <w:lang w:eastAsia="en-US"/>
        </w:rPr>
        <w:t>Group</w:t>
      </w:r>
      <w:proofErr w:type="spellEnd"/>
      <w:r w:rsidRPr="00D4083E">
        <w:rPr>
          <w:rFonts w:asciiTheme="minorHAnsi" w:eastAsiaTheme="minorHAnsi" w:hAnsiTheme="minorHAnsi" w:cstheme="minorBidi"/>
          <w:color w:val="000000" w:themeColor="text1"/>
          <w:lang w:eastAsia="en-US"/>
        </w:rPr>
        <w:t xml:space="preserve">, e o Joseph </w:t>
      </w:r>
      <w:proofErr w:type="spellStart"/>
      <w:r w:rsidRPr="00D4083E">
        <w:rPr>
          <w:rFonts w:asciiTheme="minorHAnsi" w:eastAsiaTheme="minorHAnsi" w:hAnsiTheme="minorHAnsi" w:cstheme="minorBidi"/>
          <w:color w:val="000000" w:themeColor="text1"/>
          <w:lang w:eastAsia="en-US"/>
        </w:rPr>
        <w:t>Boukai</w:t>
      </w:r>
      <w:proofErr w:type="spellEnd"/>
      <w:r w:rsidRPr="00D4083E">
        <w:rPr>
          <w:rFonts w:asciiTheme="minorHAnsi" w:eastAsiaTheme="minorHAnsi" w:hAnsiTheme="minorHAnsi" w:cstheme="minorBidi"/>
          <w:color w:val="000000" w:themeColor="text1"/>
          <w:lang w:eastAsia="en-US"/>
        </w:rPr>
        <w:t xml:space="preserve">, consultor do </w:t>
      </w:r>
      <w:proofErr w:type="spellStart"/>
      <w:r w:rsidRPr="00D4083E">
        <w:rPr>
          <w:rFonts w:asciiTheme="minorHAnsi" w:eastAsiaTheme="minorHAnsi" w:hAnsiTheme="minorHAnsi" w:cstheme="minorBidi"/>
          <w:color w:val="000000" w:themeColor="text1"/>
          <w:lang w:eastAsia="en-US"/>
        </w:rPr>
        <w:t>Leggio</w:t>
      </w:r>
      <w:proofErr w:type="spellEnd"/>
      <w:r w:rsidRPr="00D4083E">
        <w:rPr>
          <w:rFonts w:asciiTheme="minorHAnsi" w:eastAsiaTheme="minorHAnsi" w:hAnsiTheme="minorHAnsi" w:cstheme="minorBidi"/>
          <w:color w:val="000000" w:themeColor="text1"/>
          <w:lang w:eastAsia="en-US"/>
        </w:rPr>
        <w:t xml:space="preserve"> </w:t>
      </w:r>
      <w:proofErr w:type="spellStart"/>
      <w:r w:rsidRPr="00D4083E">
        <w:rPr>
          <w:rFonts w:asciiTheme="minorHAnsi" w:eastAsiaTheme="minorHAnsi" w:hAnsiTheme="minorHAnsi" w:cstheme="minorBidi"/>
          <w:color w:val="000000" w:themeColor="text1"/>
          <w:lang w:eastAsia="en-US"/>
        </w:rPr>
        <w:t>Group</w:t>
      </w:r>
      <w:proofErr w:type="spellEnd"/>
      <w:r w:rsidRPr="00D4083E">
        <w:rPr>
          <w:rFonts w:asciiTheme="minorHAnsi" w:eastAsiaTheme="minorHAnsi" w:hAnsiTheme="minorHAnsi" w:cstheme="minorBidi"/>
          <w:color w:val="000000" w:themeColor="text1"/>
          <w:lang w:eastAsia="en-US"/>
        </w:rPr>
        <w:t xml:space="preserve">, para escrever comigo </w:t>
      </w:r>
      <w:r w:rsidR="004F033C">
        <w:rPr>
          <w:rFonts w:asciiTheme="minorHAnsi" w:eastAsiaTheme="minorHAnsi" w:hAnsiTheme="minorHAnsi" w:cstheme="minorBidi"/>
          <w:color w:val="000000" w:themeColor="text1"/>
          <w:lang w:eastAsia="en-US"/>
        </w:rPr>
        <w:t>este artigo</w:t>
      </w:r>
      <w:r w:rsidRPr="00D4083E">
        <w:rPr>
          <w:rFonts w:asciiTheme="minorHAnsi" w:eastAsiaTheme="minorHAnsi" w:hAnsiTheme="minorHAnsi" w:cstheme="minorBidi"/>
          <w:color w:val="000000" w:themeColor="text1"/>
          <w:lang w:eastAsia="en-US"/>
        </w:rPr>
        <w:t xml:space="preserve">. O </w:t>
      </w:r>
      <w:proofErr w:type="spellStart"/>
      <w:r w:rsidRPr="00D4083E">
        <w:rPr>
          <w:rFonts w:asciiTheme="minorHAnsi" w:eastAsiaTheme="minorHAnsi" w:hAnsiTheme="minorHAnsi" w:cstheme="minorBidi"/>
          <w:color w:val="000000" w:themeColor="text1"/>
          <w:lang w:eastAsia="en-US"/>
        </w:rPr>
        <w:t>Leggio</w:t>
      </w:r>
      <w:proofErr w:type="spellEnd"/>
      <w:r w:rsidRPr="00D4083E">
        <w:rPr>
          <w:rFonts w:asciiTheme="minorHAnsi" w:eastAsiaTheme="minorHAnsi" w:hAnsiTheme="minorHAnsi" w:cstheme="minorBidi"/>
          <w:color w:val="000000" w:themeColor="text1"/>
          <w:lang w:eastAsia="en-US"/>
        </w:rPr>
        <w:t xml:space="preserve"> </w:t>
      </w:r>
      <w:proofErr w:type="spellStart"/>
      <w:r w:rsidRPr="00D4083E">
        <w:rPr>
          <w:rFonts w:asciiTheme="minorHAnsi" w:eastAsiaTheme="minorHAnsi" w:hAnsiTheme="minorHAnsi" w:cstheme="minorBidi"/>
          <w:color w:val="000000" w:themeColor="text1"/>
          <w:lang w:eastAsia="en-US"/>
        </w:rPr>
        <w:t>Group</w:t>
      </w:r>
      <w:proofErr w:type="spellEnd"/>
      <w:r w:rsidRPr="00D4083E">
        <w:rPr>
          <w:rFonts w:asciiTheme="minorHAnsi" w:eastAsiaTheme="minorHAnsi" w:hAnsiTheme="minorHAnsi" w:cstheme="minorBidi"/>
          <w:color w:val="000000" w:themeColor="text1"/>
          <w:lang w:eastAsia="en-US"/>
        </w:rPr>
        <w:t xml:space="preserve"> tem muita experiência e conhecimento no assunto de hoje. Vamos lá?</w:t>
      </w:r>
    </w:p>
    <w:p w14:paraId="09377381" w14:textId="77777777" w:rsidR="00BD436F" w:rsidRPr="00D4083E" w:rsidRDefault="00BD436F" w:rsidP="00D4083E">
      <w:pPr>
        <w:spacing w:after="0"/>
        <w:rPr>
          <w:rFonts w:asciiTheme="minorHAnsi" w:eastAsiaTheme="minorHAnsi" w:hAnsiTheme="minorHAnsi" w:cstheme="minorBidi"/>
          <w:color w:val="000000" w:themeColor="text1"/>
          <w:lang w:eastAsia="en-US"/>
        </w:rPr>
      </w:pPr>
    </w:p>
    <w:p w14:paraId="741D6745" w14:textId="77777777" w:rsidR="00D4083E" w:rsidRDefault="00D4083E" w:rsidP="00D4083E">
      <w:pPr>
        <w:spacing w:after="0"/>
        <w:rPr>
          <w:rFonts w:asciiTheme="minorHAnsi" w:eastAsiaTheme="minorHAnsi" w:hAnsiTheme="minorHAnsi" w:cstheme="minorBidi"/>
          <w:color w:val="000000" w:themeColor="text1"/>
          <w:lang w:eastAsia="en-US"/>
        </w:rPr>
      </w:pPr>
      <w:r w:rsidRPr="00D4083E">
        <w:rPr>
          <w:rFonts w:asciiTheme="minorHAnsi" w:eastAsiaTheme="minorHAnsi" w:hAnsiTheme="minorHAnsi" w:cstheme="minorBidi"/>
          <w:color w:val="000000" w:themeColor="text1"/>
          <w:lang w:eastAsia="en-US"/>
        </w:rPr>
        <w:t>Um Fundo de Investimentos em Infraestrutura (FI Infra) é um fundo de renda fixa que precisa investir ao menos 85% do seu patrimônio em debêntures incentivadas, de acordo com a lei 12.431/11 de projetos e emissões incentivadas. Essa lei foi criada exatamente para incentivar investimentos em projetos de desenvolvimento de infraestrutura no país. As debêntures incentivadas são títulos de crédito privado que se destinam a financiar projetos de investimento em infraestrutura, tais como projetos de energia, transportes, saneamento, logística, telecomunicações entre outros. Debêntures incentivadas são emitidas por empresas do setor de infraestrutura ou de outros setores, mas que precisam captar recursos financeiros para investir em infraestrutura. Elas se constituem em alternativa extremamente competitiva para a captação de recursos com essa finalidade, o que contribui sobremaneira para viabilizar a realização de projetos de grande porte e, muitas vezes, essenciais para o desenvolvimento de setores-chave da economia e da sociedade como um todo.</w:t>
      </w:r>
    </w:p>
    <w:p w14:paraId="2FCD54BF" w14:textId="77777777" w:rsidR="00BD436F" w:rsidRPr="00D4083E" w:rsidRDefault="00BD436F" w:rsidP="00D4083E">
      <w:pPr>
        <w:spacing w:after="0"/>
        <w:rPr>
          <w:rFonts w:asciiTheme="minorHAnsi" w:eastAsiaTheme="minorHAnsi" w:hAnsiTheme="minorHAnsi" w:cstheme="minorBidi"/>
          <w:color w:val="000000" w:themeColor="text1"/>
          <w:lang w:eastAsia="en-US"/>
        </w:rPr>
      </w:pPr>
    </w:p>
    <w:p w14:paraId="270FC318" w14:textId="2C7C4FC8" w:rsidR="00D4083E" w:rsidRPr="00D4083E" w:rsidRDefault="00D4083E" w:rsidP="00D4083E">
      <w:pPr>
        <w:spacing w:after="0"/>
        <w:rPr>
          <w:rFonts w:asciiTheme="minorHAnsi" w:eastAsiaTheme="minorHAnsi" w:hAnsiTheme="minorHAnsi" w:cstheme="minorBidi"/>
          <w:color w:val="000000" w:themeColor="text1"/>
          <w:lang w:eastAsia="en-US"/>
        </w:rPr>
      </w:pPr>
      <w:r w:rsidRPr="00D4083E">
        <w:rPr>
          <w:rFonts w:asciiTheme="minorHAnsi" w:eastAsiaTheme="minorHAnsi" w:hAnsiTheme="minorHAnsi" w:cstheme="minorBidi"/>
          <w:color w:val="000000" w:themeColor="text1"/>
          <w:lang w:eastAsia="en-US"/>
        </w:rPr>
        <w:t xml:space="preserve">Os FI Infra têm como finalidade </w:t>
      </w:r>
      <w:proofErr w:type="spellStart"/>
      <w:r w:rsidRPr="00D4083E">
        <w:rPr>
          <w:rFonts w:asciiTheme="minorHAnsi" w:eastAsiaTheme="minorHAnsi" w:hAnsiTheme="minorHAnsi" w:cstheme="minorBidi"/>
          <w:color w:val="000000" w:themeColor="text1"/>
          <w:lang w:eastAsia="en-US"/>
        </w:rPr>
        <w:t>encarteirar</w:t>
      </w:r>
      <w:proofErr w:type="spellEnd"/>
      <w:r w:rsidRPr="00D4083E">
        <w:rPr>
          <w:rFonts w:asciiTheme="minorHAnsi" w:eastAsiaTheme="minorHAnsi" w:hAnsiTheme="minorHAnsi" w:cstheme="minorBidi"/>
          <w:color w:val="000000" w:themeColor="text1"/>
          <w:lang w:eastAsia="en-US"/>
        </w:rPr>
        <w:t xml:space="preserve"> debêntures incentivadas que financiem projetos normalmente de longo prazo com riscos e rentabilidades diferenciadas em comparação a outros investimentos tradicionais, tais como ações e títulos tradicionais de renda fixa por exemplo. Dessa maneira, os FI Infra oferecem aos investidores a possibilidade de diversificar seus portfólios ao investir em empreendimentos de infraestrutura, a maioria esmagadora de grande envergadura e complexidade a ponto de não serem acessíveis a investidores individuais.</w:t>
      </w:r>
    </w:p>
    <w:p w14:paraId="22BC4178" w14:textId="77777777" w:rsidR="00D4083E" w:rsidRDefault="00D4083E" w:rsidP="00D4083E">
      <w:pPr>
        <w:spacing w:after="0"/>
        <w:rPr>
          <w:rFonts w:asciiTheme="minorHAnsi" w:eastAsiaTheme="minorHAnsi" w:hAnsiTheme="minorHAnsi" w:cstheme="minorBidi"/>
          <w:color w:val="000000" w:themeColor="text1"/>
          <w:lang w:eastAsia="en-US"/>
        </w:rPr>
      </w:pPr>
      <w:r w:rsidRPr="00D4083E">
        <w:rPr>
          <w:rFonts w:asciiTheme="minorHAnsi" w:eastAsiaTheme="minorHAnsi" w:hAnsiTheme="minorHAnsi" w:cstheme="minorBidi"/>
          <w:color w:val="000000" w:themeColor="text1"/>
          <w:lang w:eastAsia="en-US"/>
        </w:rPr>
        <w:lastRenderedPageBreak/>
        <w:t xml:space="preserve">Além disso, fundos de investimentos em infraestrutura possuem um benefício fiscal diferenciado: </w:t>
      </w:r>
      <w:proofErr w:type="gramStart"/>
      <w:r w:rsidRPr="00D4083E">
        <w:rPr>
          <w:rFonts w:asciiTheme="minorHAnsi" w:eastAsiaTheme="minorHAnsi" w:hAnsiTheme="minorHAnsi" w:cstheme="minorBidi"/>
          <w:color w:val="000000" w:themeColor="text1"/>
          <w:lang w:eastAsia="en-US"/>
        </w:rPr>
        <w:t>seus cotistas pessoas físicas</w:t>
      </w:r>
      <w:proofErr w:type="gramEnd"/>
      <w:r w:rsidRPr="00D4083E">
        <w:rPr>
          <w:rFonts w:asciiTheme="minorHAnsi" w:eastAsiaTheme="minorHAnsi" w:hAnsiTheme="minorHAnsi" w:cstheme="minorBidi"/>
          <w:color w:val="000000" w:themeColor="text1"/>
          <w:lang w:eastAsia="en-US"/>
        </w:rPr>
        <w:t xml:space="preserve"> não pagam nenhum imposto de renda, seja em proventos recebidos, seja na forma de ganho de capital ao vender cotas do fundo a preços maiores do que os preços de compra. Lembre-se que fundos imobiliários são isentos na distribuição de proventos, porém, nesse caso, ganhos de capital são tributados a 20% do lucro.</w:t>
      </w:r>
    </w:p>
    <w:p w14:paraId="68A89629" w14:textId="77777777" w:rsidR="00BD436F" w:rsidRPr="00D4083E" w:rsidRDefault="00BD436F" w:rsidP="00D4083E">
      <w:pPr>
        <w:spacing w:after="0"/>
        <w:rPr>
          <w:rFonts w:asciiTheme="minorHAnsi" w:eastAsiaTheme="minorHAnsi" w:hAnsiTheme="minorHAnsi" w:cstheme="minorBidi"/>
          <w:color w:val="000000" w:themeColor="text1"/>
          <w:lang w:eastAsia="en-US"/>
        </w:rPr>
      </w:pPr>
    </w:p>
    <w:p w14:paraId="2B285297" w14:textId="4C0490A3" w:rsidR="00D4083E" w:rsidRDefault="00D4083E" w:rsidP="00D4083E">
      <w:pPr>
        <w:spacing w:after="0"/>
        <w:rPr>
          <w:rFonts w:asciiTheme="minorHAnsi" w:eastAsiaTheme="minorHAnsi" w:hAnsiTheme="minorHAnsi" w:cstheme="minorBidi"/>
          <w:color w:val="000000" w:themeColor="text1"/>
          <w:lang w:eastAsia="en-US"/>
        </w:rPr>
      </w:pPr>
      <w:r w:rsidRPr="00D4083E">
        <w:rPr>
          <w:rFonts w:asciiTheme="minorHAnsi" w:eastAsiaTheme="minorHAnsi" w:hAnsiTheme="minorHAnsi" w:cstheme="minorBidi"/>
          <w:color w:val="000000" w:themeColor="text1"/>
          <w:lang w:eastAsia="en-US"/>
        </w:rPr>
        <w:t>A importância dos FI Infra e das debêntures incentivadas é notável por alguns motivos. Eles possuem um papel crucial no cenário econômico, desempenhando uma função essencial no desenvolvimento e na modernização do país. Por meio desses fundos, investidores têm a oportunidade de direcionar recursos para projetos de infraestrutura de grande magnitude, projetados para criar um impacto duradouro na sociedade. Através da alocação estratégica de capital em setores diferentes da economia, os FI Infra contribuem diretamente para a construção e manutenção de ativos essenciais que sustentam o crescimento econômico a longo prazo.</w:t>
      </w:r>
    </w:p>
    <w:p w14:paraId="512C7AF7" w14:textId="77777777" w:rsidR="00BD436F" w:rsidRPr="00D4083E" w:rsidRDefault="00BD436F" w:rsidP="00D4083E">
      <w:pPr>
        <w:spacing w:after="0"/>
        <w:rPr>
          <w:rFonts w:asciiTheme="minorHAnsi" w:eastAsiaTheme="minorHAnsi" w:hAnsiTheme="minorHAnsi" w:cstheme="minorBidi"/>
          <w:color w:val="000000" w:themeColor="text1"/>
          <w:lang w:eastAsia="en-US"/>
        </w:rPr>
      </w:pPr>
    </w:p>
    <w:p w14:paraId="44F534F6" w14:textId="336D9D99" w:rsidR="00D4083E" w:rsidRDefault="00D4083E" w:rsidP="00D4083E">
      <w:pPr>
        <w:spacing w:after="0"/>
        <w:rPr>
          <w:rFonts w:asciiTheme="minorHAnsi" w:eastAsiaTheme="minorHAnsi" w:hAnsiTheme="minorHAnsi" w:cstheme="minorBidi"/>
          <w:color w:val="000000" w:themeColor="text1"/>
          <w:lang w:eastAsia="en-US"/>
        </w:rPr>
      </w:pPr>
      <w:r w:rsidRPr="00D4083E">
        <w:rPr>
          <w:rFonts w:asciiTheme="minorHAnsi" w:eastAsiaTheme="minorHAnsi" w:hAnsiTheme="minorHAnsi" w:cstheme="minorBidi"/>
          <w:color w:val="000000" w:themeColor="text1"/>
          <w:lang w:eastAsia="en-US"/>
        </w:rPr>
        <w:t xml:space="preserve">Investidores de diferentes perfis, incluindo pessoas físicas, empresas e instituições financeiras, podem participar desses fundos, o que, por sua vez, diversifica a base de investidores e amplia o financiamento disponível para projetos relevantes. Essa democratização do investimento em infraestrutura não apenas beneficia as partes envolvidas, mas também promove o desenvolvimento de áreas com retornos mais equitativos principalmente sob o aspecto social, tendo em vista que, </w:t>
      </w:r>
      <w:proofErr w:type="gramStart"/>
      <w:r w:rsidRPr="00D4083E">
        <w:rPr>
          <w:rFonts w:asciiTheme="minorHAnsi" w:eastAsiaTheme="minorHAnsi" w:hAnsiTheme="minorHAnsi" w:cstheme="minorBidi"/>
          <w:color w:val="000000" w:themeColor="text1"/>
          <w:lang w:eastAsia="en-US"/>
        </w:rPr>
        <w:t>via de regra</w:t>
      </w:r>
      <w:proofErr w:type="gramEnd"/>
      <w:r w:rsidRPr="00D4083E">
        <w:rPr>
          <w:rFonts w:asciiTheme="minorHAnsi" w:eastAsiaTheme="minorHAnsi" w:hAnsiTheme="minorHAnsi" w:cstheme="minorBidi"/>
          <w:color w:val="000000" w:themeColor="text1"/>
          <w:lang w:eastAsia="en-US"/>
        </w:rPr>
        <w:t xml:space="preserve">, se </w:t>
      </w:r>
      <w:r w:rsidR="00A97346" w:rsidRPr="00D4083E">
        <w:rPr>
          <w:rFonts w:asciiTheme="minorHAnsi" w:eastAsiaTheme="minorHAnsi" w:hAnsiTheme="minorHAnsi" w:cstheme="minorBidi"/>
          <w:color w:val="000000" w:themeColor="text1"/>
          <w:lang w:eastAsia="en-US"/>
        </w:rPr>
        <w:t>trata</w:t>
      </w:r>
      <w:r w:rsidRPr="00D4083E">
        <w:rPr>
          <w:rFonts w:asciiTheme="minorHAnsi" w:eastAsiaTheme="minorHAnsi" w:hAnsiTheme="minorHAnsi" w:cstheme="minorBidi"/>
          <w:color w:val="000000" w:themeColor="text1"/>
          <w:lang w:eastAsia="en-US"/>
        </w:rPr>
        <w:t xml:space="preserve"> de projetos que beneficiam a sociedade como um todo e não apenas as camadas economicamente privilegiadas.</w:t>
      </w:r>
    </w:p>
    <w:p w14:paraId="7E13E2CA" w14:textId="77777777" w:rsidR="00BD436F" w:rsidRPr="00D4083E" w:rsidRDefault="00BD436F" w:rsidP="00D4083E">
      <w:pPr>
        <w:spacing w:after="0"/>
        <w:rPr>
          <w:rFonts w:asciiTheme="minorHAnsi" w:eastAsiaTheme="minorHAnsi" w:hAnsiTheme="minorHAnsi" w:cstheme="minorBidi"/>
          <w:color w:val="000000" w:themeColor="text1"/>
          <w:lang w:eastAsia="en-US"/>
        </w:rPr>
      </w:pPr>
    </w:p>
    <w:p w14:paraId="0DFD8D7F" w14:textId="77777777" w:rsidR="00D4083E" w:rsidRDefault="00D4083E" w:rsidP="00D4083E">
      <w:pPr>
        <w:spacing w:after="0"/>
        <w:rPr>
          <w:rFonts w:asciiTheme="minorHAnsi" w:eastAsiaTheme="minorHAnsi" w:hAnsiTheme="minorHAnsi" w:cstheme="minorBidi"/>
          <w:color w:val="000000" w:themeColor="text1"/>
          <w:lang w:eastAsia="en-US"/>
        </w:rPr>
      </w:pPr>
      <w:r w:rsidRPr="00D4083E">
        <w:rPr>
          <w:rFonts w:asciiTheme="minorHAnsi" w:eastAsiaTheme="minorHAnsi" w:hAnsiTheme="minorHAnsi" w:cstheme="minorBidi"/>
          <w:color w:val="000000" w:themeColor="text1"/>
          <w:lang w:eastAsia="en-US"/>
        </w:rPr>
        <w:t>Além disso, os FI Infra atuam como impulsionadores do setor privado, incentivando empresas e empreendedores a assumirem um papel ativo no financiamento, construção e operação de projetos de infraestrutura. Isso alivia a pressão sobre os orçamentos públicos e promove maior eficiência na gestão e operação desses ativos. À medida que o setor privado se envolve, a inovação e a competição tendem a aumentar, resultando em soluções mais eficazes e adaptadas às necessidades em constante evolução da sociedade.</w:t>
      </w:r>
    </w:p>
    <w:p w14:paraId="7C405EA5" w14:textId="77777777" w:rsidR="00963573" w:rsidRPr="00D4083E" w:rsidRDefault="00963573" w:rsidP="00D4083E">
      <w:pPr>
        <w:spacing w:after="0"/>
        <w:rPr>
          <w:rFonts w:asciiTheme="minorHAnsi" w:eastAsiaTheme="minorHAnsi" w:hAnsiTheme="minorHAnsi" w:cstheme="minorBidi"/>
          <w:color w:val="000000" w:themeColor="text1"/>
          <w:lang w:eastAsia="en-US"/>
        </w:rPr>
      </w:pPr>
    </w:p>
    <w:p w14:paraId="532A0997" w14:textId="4CD24EA0" w:rsidR="00D4083E" w:rsidRDefault="00D4083E" w:rsidP="00D4083E">
      <w:pPr>
        <w:spacing w:after="0"/>
        <w:rPr>
          <w:rFonts w:asciiTheme="minorHAnsi" w:eastAsiaTheme="minorHAnsi" w:hAnsiTheme="minorHAnsi" w:cstheme="minorBidi"/>
          <w:color w:val="000000" w:themeColor="text1"/>
          <w:lang w:eastAsia="en-US"/>
        </w:rPr>
      </w:pPr>
      <w:r w:rsidRPr="00D4083E">
        <w:rPr>
          <w:rFonts w:asciiTheme="minorHAnsi" w:eastAsiaTheme="minorHAnsi" w:hAnsiTheme="minorHAnsi" w:cstheme="minorBidi"/>
          <w:color w:val="000000" w:themeColor="text1"/>
          <w:lang w:eastAsia="en-US"/>
        </w:rPr>
        <w:lastRenderedPageBreak/>
        <w:t>Não se pode subestimar ainda o impacto social positivo dos FI Infra. Esses fundos viabilizam a entrega de serviços essenciais à população, como fornecimento de energia, sistemas de transporte eficientes, saneamento básico e telecomunicações confiáveis. Esses serviços não apenas melhoram a qualidade de vida</w:t>
      </w:r>
      <w:r w:rsidR="00537880">
        <w:rPr>
          <w:rFonts w:asciiTheme="minorHAnsi" w:eastAsiaTheme="minorHAnsi" w:hAnsiTheme="minorHAnsi" w:cstheme="minorBidi"/>
          <w:color w:val="000000" w:themeColor="text1"/>
          <w:lang w:eastAsia="en-US"/>
        </w:rPr>
        <w:t xml:space="preserve"> de toda a sociedade</w:t>
      </w:r>
      <w:r w:rsidRPr="00D4083E">
        <w:rPr>
          <w:rFonts w:asciiTheme="minorHAnsi" w:eastAsiaTheme="minorHAnsi" w:hAnsiTheme="minorHAnsi" w:cstheme="minorBidi"/>
          <w:color w:val="000000" w:themeColor="text1"/>
          <w:lang w:eastAsia="en-US"/>
        </w:rPr>
        <w:t>, mas também criam um ambiente favorável para o crescimento econômico sustentável, atraindo investimentos estrangeiros e estimulando o desenvolvimento de setores correlacionados.</w:t>
      </w:r>
    </w:p>
    <w:p w14:paraId="4766DC5C" w14:textId="77777777" w:rsidR="00963573" w:rsidRPr="00D4083E" w:rsidRDefault="00963573" w:rsidP="00D4083E">
      <w:pPr>
        <w:spacing w:after="0"/>
        <w:rPr>
          <w:rFonts w:asciiTheme="minorHAnsi" w:eastAsiaTheme="minorHAnsi" w:hAnsiTheme="minorHAnsi" w:cstheme="minorBidi"/>
          <w:color w:val="000000" w:themeColor="text1"/>
          <w:lang w:eastAsia="en-US"/>
        </w:rPr>
      </w:pPr>
    </w:p>
    <w:p w14:paraId="43D828DE" w14:textId="608500FF" w:rsidR="000D38DC" w:rsidRDefault="00D4083E" w:rsidP="00D4083E">
      <w:pPr>
        <w:spacing w:after="0"/>
        <w:rPr>
          <w:rFonts w:asciiTheme="minorHAnsi" w:eastAsiaTheme="minorHAnsi" w:hAnsiTheme="minorHAnsi" w:cstheme="minorBidi"/>
          <w:color w:val="000000" w:themeColor="text1"/>
          <w:lang w:eastAsia="en-US"/>
        </w:rPr>
      </w:pPr>
      <w:r w:rsidRPr="00D4083E">
        <w:rPr>
          <w:rFonts w:asciiTheme="minorHAnsi" w:eastAsiaTheme="minorHAnsi" w:hAnsiTheme="minorHAnsi" w:cstheme="minorBidi"/>
          <w:color w:val="000000" w:themeColor="text1"/>
          <w:lang w:eastAsia="en-US"/>
        </w:rPr>
        <w:t>De acordo com dados disponibilizados no site da B3, temos atualmente um total de 12 FI Infra listados na bolsa. A lista deles segue abaixo, com nomes e códigos de negociação.</w:t>
      </w:r>
    </w:p>
    <w:p w14:paraId="08067EE5" w14:textId="77777777" w:rsidR="000D38DC" w:rsidRDefault="000D38DC" w:rsidP="000504E3">
      <w:pPr>
        <w:spacing w:after="0"/>
        <w:rPr>
          <w:rFonts w:asciiTheme="minorHAnsi" w:eastAsiaTheme="minorHAnsi" w:hAnsiTheme="minorHAnsi" w:cstheme="minorBidi"/>
          <w:color w:val="000000" w:themeColor="text1"/>
          <w:lang w:eastAsia="en-US"/>
        </w:rPr>
      </w:pPr>
    </w:p>
    <w:p w14:paraId="2EA7FE11" w14:textId="35C3E223" w:rsidR="00A9100F" w:rsidRDefault="003264AC" w:rsidP="0031166F">
      <w:pPr>
        <w:spacing w:before="0" w:after="0"/>
        <w:rPr>
          <w:rFonts w:asciiTheme="minorHAnsi" w:eastAsiaTheme="minorHAnsi" w:hAnsiTheme="minorHAnsi" w:cstheme="minorBidi"/>
          <w:color w:val="000000" w:themeColor="text1"/>
          <w:lang w:eastAsia="en-US"/>
        </w:rPr>
      </w:pPr>
      <w:r w:rsidRPr="003264AC">
        <w:rPr>
          <w:rFonts w:eastAsiaTheme="minorHAnsi"/>
          <w:noProof/>
        </w:rPr>
        <w:drawing>
          <wp:inline distT="0" distB="0" distL="0" distR="0" wp14:anchorId="22B2F670" wp14:editId="26BCD854">
            <wp:extent cx="5613400" cy="3188335"/>
            <wp:effectExtent l="0" t="0" r="0" b="0"/>
            <wp:docPr id="190288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3400" cy="3188335"/>
                    </a:xfrm>
                    <a:prstGeom prst="rect">
                      <a:avLst/>
                    </a:prstGeom>
                    <a:noFill/>
                    <a:ln>
                      <a:noFill/>
                    </a:ln>
                  </pic:spPr>
                </pic:pic>
              </a:graphicData>
            </a:graphic>
          </wp:inline>
        </w:drawing>
      </w:r>
    </w:p>
    <w:p w14:paraId="678A1595" w14:textId="77777777" w:rsidR="00CC7B33" w:rsidRDefault="00CC7B33" w:rsidP="00CC7B33">
      <w:pPr>
        <w:spacing w:before="0" w:after="0"/>
        <w:rPr>
          <w:rFonts w:asciiTheme="minorHAnsi" w:eastAsiaTheme="minorHAnsi" w:hAnsiTheme="minorHAnsi" w:cstheme="minorBidi"/>
          <w:color w:val="000000" w:themeColor="text1"/>
          <w:lang w:eastAsia="en-US"/>
        </w:rPr>
      </w:pPr>
      <w:r w:rsidRPr="00CC7B33">
        <w:rPr>
          <w:rFonts w:asciiTheme="minorHAnsi" w:eastAsiaTheme="minorHAnsi" w:hAnsiTheme="minorHAnsi" w:cstheme="minorBidi"/>
          <w:color w:val="000000" w:themeColor="text1"/>
          <w:lang w:eastAsia="en-US"/>
        </w:rPr>
        <w:t xml:space="preserve">Para análise inicial deste tipo de fundo, é importante avaliar algumas informações e indicadores como: o número de cotistas, patrimônio líquido, liquidez, posição alocada vs. posição em caixa, valor da cota patrimonial vs. valor da cota a mercado, </w:t>
      </w:r>
      <w:proofErr w:type="spellStart"/>
      <w:r w:rsidRPr="00A3568F">
        <w:rPr>
          <w:rFonts w:asciiTheme="minorHAnsi" w:eastAsiaTheme="minorHAnsi" w:hAnsiTheme="minorHAnsi" w:cstheme="minorBidi"/>
          <w:i/>
          <w:iCs/>
          <w:color w:val="000000" w:themeColor="text1"/>
          <w:lang w:eastAsia="en-US"/>
        </w:rPr>
        <w:t>duration</w:t>
      </w:r>
      <w:proofErr w:type="spellEnd"/>
      <w:r w:rsidRPr="00CC7B33">
        <w:rPr>
          <w:rFonts w:asciiTheme="minorHAnsi" w:eastAsiaTheme="minorHAnsi" w:hAnsiTheme="minorHAnsi" w:cstheme="minorBidi"/>
          <w:color w:val="000000" w:themeColor="text1"/>
          <w:lang w:eastAsia="en-US"/>
        </w:rPr>
        <w:t xml:space="preserve"> e YTM (</w:t>
      </w:r>
      <w:proofErr w:type="spellStart"/>
      <w:r w:rsidRPr="00A3568F">
        <w:rPr>
          <w:rFonts w:asciiTheme="minorHAnsi" w:eastAsiaTheme="minorHAnsi" w:hAnsiTheme="minorHAnsi" w:cstheme="minorBidi"/>
          <w:i/>
          <w:iCs/>
          <w:color w:val="000000" w:themeColor="text1"/>
          <w:lang w:eastAsia="en-US"/>
        </w:rPr>
        <w:t>yield</w:t>
      </w:r>
      <w:proofErr w:type="spellEnd"/>
      <w:r w:rsidRPr="00A3568F">
        <w:rPr>
          <w:rFonts w:asciiTheme="minorHAnsi" w:eastAsiaTheme="minorHAnsi" w:hAnsiTheme="minorHAnsi" w:cstheme="minorBidi"/>
          <w:i/>
          <w:iCs/>
          <w:color w:val="000000" w:themeColor="text1"/>
          <w:lang w:eastAsia="en-US"/>
        </w:rPr>
        <w:t xml:space="preserve"> </w:t>
      </w:r>
      <w:proofErr w:type="spellStart"/>
      <w:r w:rsidRPr="00A3568F">
        <w:rPr>
          <w:rFonts w:asciiTheme="minorHAnsi" w:eastAsiaTheme="minorHAnsi" w:hAnsiTheme="minorHAnsi" w:cstheme="minorBidi"/>
          <w:i/>
          <w:iCs/>
          <w:color w:val="000000" w:themeColor="text1"/>
          <w:lang w:eastAsia="en-US"/>
        </w:rPr>
        <w:t>to</w:t>
      </w:r>
      <w:proofErr w:type="spellEnd"/>
      <w:r w:rsidRPr="00A3568F">
        <w:rPr>
          <w:rFonts w:asciiTheme="minorHAnsi" w:eastAsiaTheme="minorHAnsi" w:hAnsiTheme="minorHAnsi" w:cstheme="minorBidi"/>
          <w:i/>
          <w:iCs/>
          <w:color w:val="000000" w:themeColor="text1"/>
          <w:lang w:eastAsia="en-US"/>
        </w:rPr>
        <w:t xml:space="preserve"> </w:t>
      </w:r>
      <w:proofErr w:type="spellStart"/>
      <w:r w:rsidRPr="00A3568F">
        <w:rPr>
          <w:rFonts w:asciiTheme="minorHAnsi" w:eastAsiaTheme="minorHAnsi" w:hAnsiTheme="minorHAnsi" w:cstheme="minorBidi"/>
          <w:i/>
          <w:iCs/>
          <w:color w:val="000000" w:themeColor="text1"/>
          <w:lang w:eastAsia="en-US"/>
        </w:rPr>
        <w:t>maturity</w:t>
      </w:r>
      <w:proofErr w:type="spellEnd"/>
      <w:r w:rsidRPr="00CC7B33">
        <w:rPr>
          <w:rFonts w:asciiTheme="minorHAnsi" w:eastAsiaTheme="minorHAnsi" w:hAnsiTheme="minorHAnsi" w:cstheme="minorBidi"/>
          <w:color w:val="000000" w:themeColor="text1"/>
          <w:lang w:eastAsia="en-US"/>
        </w:rPr>
        <w:t xml:space="preserve">) médios das debêntures investidas pelo fundo, distribuição histórica de proventos por cota e rentabilidade total histórica. Neste último caso, faz-se mister analisar a série de retornos totais, pois esta incorpora tanto o ganho por proventos distribuídos quanto os ganhos de capital (ou seja, por evolução do preço da cota). Ao se analisar apenas o histórico dos preços da cota do fundo, perde-se toda a rentabilidade oriunda dos proventos pagos, o que torna a análise completamente equivocada. Também cabe mencionar a análise da volatidade desta </w:t>
      </w:r>
      <w:r w:rsidRPr="00CC7B33">
        <w:rPr>
          <w:rFonts w:asciiTheme="minorHAnsi" w:eastAsiaTheme="minorHAnsi" w:hAnsiTheme="minorHAnsi" w:cstheme="minorBidi"/>
          <w:color w:val="000000" w:themeColor="text1"/>
          <w:lang w:eastAsia="en-US"/>
        </w:rPr>
        <w:lastRenderedPageBreak/>
        <w:t xml:space="preserve">rentabilidade total histórica, pois </w:t>
      </w:r>
      <w:proofErr w:type="gramStart"/>
      <w:r w:rsidRPr="00CC7B33">
        <w:rPr>
          <w:rFonts w:asciiTheme="minorHAnsi" w:eastAsiaTheme="minorHAnsi" w:hAnsiTheme="minorHAnsi" w:cstheme="minorBidi"/>
          <w:color w:val="000000" w:themeColor="text1"/>
          <w:lang w:eastAsia="en-US"/>
        </w:rPr>
        <w:t>esta</w:t>
      </w:r>
      <w:proofErr w:type="gramEnd"/>
      <w:r w:rsidRPr="00CC7B33">
        <w:rPr>
          <w:rFonts w:asciiTheme="minorHAnsi" w:eastAsiaTheme="minorHAnsi" w:hAnsiTheme="minorHAnsi" w:cstheme="minorBidi"/>
          <w:color w:val="000000" w:themeColor="text1"/>
          <w:lang w:eastAsia="en-US"/>
        </w:rPr>
        <w:t xml:space="preserve"> métrica reflete uma medida da incerteza dos ganhos que o fundo proporcionará. Ao final, não esqueça de comparar a relação risco/retorno do FI Infra analisado com benchmarks de mercado para você ter segurança e melhor entendimento do investimento que você fará.</w:t>
      </w:r>
    </w:p>
    <w:p w14:paraId="471BFDFA" w14:textId="77777777" w:rsidR="00A3568F" w:rsidRPr="00CC7B33" w:rsidRDefault="00A3568F" w:rsidP="00CC7B33">
      <w:pPr>
        <w:spacing w:before="0" w:after="0"/>
        <w:rPr>
          <w:rFonts w:asciiTheme="minorHAnsi" w:eastAsiaTheme="minorHAnsi" w:hAnsiTheme="minorHAnsi" w:cstheme="minorBidi"/>
          <w:color w:val="000000" w:themeColor="text1"/>
          <w:lang w:eastAsia="en-US"/>
        </w:rPr>
      </w:pPr>
    </w:p>
    <w:p w14:paraId="376AD1D1" w14:textId="77777777" w:rsidR="00CC7B33" w:rsidRDefault="00CC7B33" w:rsidP="00CC7B33">
      <w:pPr>
        <w:spacing w:before="0" w:after="0"/>
        <w:rPr>
          <w:rFonts w:asciiTheme="minorHAnsi" w:eastAsiaTheme="minorHAnsi" w:hAnsiTheme="minorHAnsi" w:cstheme="minorBidi"/>
          <w:color w:val="000000" w:themeColor="text1"/>
          <w:lang w:eastAsia="en-US"/>
        </w:rPr>
      </w:pPr>
      <w:r w:rsidRPr="00CC7B33">
        <w:rPr>
          <w:rFonts w:asciiTheme="minorHAnsi" w:eastAsiaTheme="minorHAnsi" w:hAnsiTheme="minorHAnsi" w:cstheme="minorBidi"/>
          <w:color w:val="000000" w:themeColor="text1"/>
          <w:lang w:eastAsia="en-US"/>
        </w:rPr>
        <w:t>Em sequência a esta análise, faz-se necessária uma avaliação detalhada dos projetos alocados na carteira do fundo. Nessa etapa de avaliação, algumas informações relevantes devem ser consideradas para se avaliar a saúde financeira, a diversificação e a viabilidade de cada projeto. Alguns exemplos podem ser tipicamente citados:</w:t>
      </w:r>
    </w:p>
    <w:p w14:paraId="343E2F05" w14:textId="77777777" w:rsidR="00A3568F" w:rsidRPr="00CC7B33" w:rsidRDefault="00A3568F" w:rsidP="00CC7B33">
      <w:pPr>
        <w:spacing w:before="0" w:after="0"/>
        <w:rPr>
          <w:rFonts w:asciiTheme="minorHAnsi" w:eastAsiaTheme="minorHAnsi" w:hAnsiTheme="minorHAnsi" w:cstheme="minorBidi"/>
          <w:color w:val="000000" w:themeColor="text1"/>
          <w:lang w:eastAsia="en-US"/>
        </w:rPr>
      </w:pPr>
    </w:p>
    <w:p w14:paraId="18000CDB" w14:textId="09E4387C" w:rsidR="00CC7B33" w:rsidRPr="00CC7B33" w:rsidRDefault="00CC7B33" w:rsidP="00CC7B33">
      <w:pPr>
        <w:pStyle w:val="ListParagraph"/>
        <w:numPr>
          <w:ilvl w:val="0"/>
          <w:numId w:val="9"/>
        </w:numPr>
        <w:spacing w:before="0" w:after="0"/>
        <w:rPr>
          <w:rFonts w:asciiTheme="minorHAnsi" w:eastAsiaTheme="minorHAnsi" w:hAnsiTheme="minorHAnsi" w:cstheme="minorBidi"/>
          <w:color w:val="000000" w:themeColor="text1"/>
          <w:lang w:eastAsia="en-US"/>
        </w:rPr>
      </w:pPr>
      <w:r w:rsidRPr="00A3568F">
        <w:rPr>
          <w:rFonts w:asciiTheme="minorHAnsi" w:eastAsiaTheme="minorHAnsi" w:hAnsiTheme="minorHAnsi" w:cstheme="minorBidi"/>
          <w:b/>
          <w:bCs/>
          <w:color w:val="000000" w:themeColor="text1"/>
          <w:lang w:eastAsia="en-US"/>
        </w:rPr>
        <w:t>Quantidade de projetos</w:t>
      </w:r>
      <w:r w:rsidRPr="00CC7B33">
        <w:rPr>
          <w:rFonts w:asciiTheme="minorHAnsi" w:eastAsiaTheme="minorHAnsi" w:hAnsiTheme="minorHAnsi" w:cstheme="minorBidi"/>
          <w:color w:val="000000" w:themeColor="text1"/>
          <w:lang w:eastAsia="en-US"/>
        </w:rPr>
        <w:t>: avaliar o número total de projetos presentes no portfólio do fundo, o que permite avaliar a diversificação do fundo e sua exposição a diferentes setores de infraestrutura.</w:t>
      </w:r>
    </w:p>
    <w:p w14:paraId="54F9DD70" w14:textId="6BB96345" w:rsidR="00CC7B33" w:rsidRPr="00CC7B33" w:rsidRDefault="00CC7B33" w:rsidP="00CC7B33">
      <w:pPr>
        <w:pStyle w:val="ListParagraph"/>
        <w:numPr>
          <w:ilvl w:val="0"/>
          <w:numId w:val="9"/>
        </w:numPr>
        <w:spacing w:before="0" w:after="0"/>
        <w:rPr>
          <w:rFonts w:asciiTheme="minorHAnsi" w:eastAsiaTheme="minorHAnsi" w:hAnsiTheme="minorHAnsi" w:cstheme="minorBidi"/>
          <w:color w:val="000000" w:themeColor="text1"/>
          <w:lang w:eastAsia="en-US"/>
        </w:rPr>
      </w:pPr>
      <w:r w:rsidRPr="00A3568F">
        <w:rPr>
          <w:rFonts w:asciiTheme="minorHAnsi" w:eastAsiaTheme="minorHAnsi" w:hAnsiTheme="minorHAnsi" w:cstheme="minorBidi"/>
          <w:b/>
          <w:bCs/>
          <w:color w:val="000000" w:themeColor="text1"/>
          <w:lang w:eastAsia="en-US"/>
        </w:rPr>
        <w:t>Posição absoluta e relativa</w:t>
      </w:r>
      <w:r w:rsidRPr="00CC7B33">
        <w:rPr>
          <w:rFonts w:asciiTheme="minorHAnsi" w:eastAsiaTheme="minorHAnsi" w:hAnsiTheme="minorHAnsi" w:cstheme="minorBidi"/>
          <w:color w:val="000000" w:themeColor="text1"/>
          <w:lang w:eastAsia="en-US"/>
        </w:rPr>
        <w:t>: compreender a alocação financeira em reais e em porcentual para cada projeto dentro do portfólio</w:t>
      </w:r>
      <w:r w:rsidR="00AC0931">
        <w:rPr>
          <w:rFonts w:asciiTheme="minorHAnsi" w:eastAsiaTheme="minorHAnsi" w:hAnsiTheme="minorHAnsi" w:cstheme="minorBidi"/>
          <w:color w:val="000000" w:themeColor="text1"/>
          <w:lang w:eastAsia="en-US"/>
        </w:rPr>
        <w:t>, o que</w:t>
      </w:r>
      <w:r w:rsidRPr="00CC7B33">
        <w:rPr>
          <w:rFonts w:asciiTheme="minorHAnsi" w:eastAsiaTheme="minorHAnsi" w:hAnsiTheme="minorHAnsi" w:cstheme="minorBidi"/>
          <w:color w:val="000000" w:themeColor="text1"/>
          <w:lang w:eastAsia="en-US"/>
        </w:rPr>
        <w:t xml:space="preserve"> ajuda a identificar os projetos que têm maior peso </w:t>
      </w:r>
      <w:r w:rsidR="00A20B8E">
        <w:rPr>
          <w:rFonts w:asciiTheme="minorHAnsi" w:eastAsiaTheme="minorHAnsi" w:hAnsiTheme="minorHAnsi" w:cstheme="minorBidi"/>
          <w:color w:val="000000" w:themeColor="text1"/>
          <w:lang w:eastAsia="en-US"/>
        </w:rPr>
        <w:t>na carteira do fundo</w:t>
      </w:r>
      <w:r w:rsidRPr="00CC7B33">
        <w:rPr>
          <w:rFonts w:asciiTheme="minorHAnsi" w:eastAsiaTheme="minorHAnsi" w:hAnsiTheme="minorHAnsi" w:cstheme="minorBidi"/>
          <w:color w:val="000000" w:themeColor="text1"/>
          <w:lang w:eastAsia="en-US"/>
        </w:rPr>
        <w:t>.</w:t>
      </w:r>
    </w:p>
    <w:p w14:paraId="10B0EE27" w14:textId="114F59FE" w:rsidR="00CC7B33" w:rsidRPr="00CC7B33" w:rsidRDefault="00CC7B33" w:rsidP="00CC7B33">
      <w:pPr>
        <w:pStyle w:val="ListParagraph"/>
        <w:numPr>
          <w:ilvl w:val="0"/>
          <w:numId w:val="9"/>
        </w:numPr>
        <w:spacing w:before="0" w:after="0"/>
        <w:rPr>
          <w:rFonts w:asciiTheme="minorHAnsi" w:eastAsiaTheme="minorHAnsi" w:hAnsiTheme="minorHAnsi" w:cstheme="minorBidi"/>
          <w:color w:val="000000" w:themeColor="text1"/>
          <w:lang w:eastAsia="en-US"/>
        </w:rPr>
      </w:pPr>
      <w:r w:rsidRPr="00A3568F">
        <w:rPr>
          <w:rFonts w:asciiTheme="minorHAnsi" w:eastAsiaTheme="minorHAnsi" w:hAnsiTheme="minorHAnsi" w:cstheme="minorBidi"/>
          <w:b/>
          <w:bCs/>
          <w:color w:val="000000" w:themeColor="text1"/>
          <w:lang w:eastAsia="en-US"/>
        </w:rPr>
        <w:t>Indexador atrelado aos projetos</w:t>
      </w:r>
      <w:r w:rsidRPr="00CC7B33">
        <w:rPr>
          <w:rFonts w:asciiTheme="minorHAnsi" w:eastAsiaTheme="minorHAnsi" w:hAnsiTheme="minorHAnsi" w:cstheme="minorBidi"/>
          <w:color w:val="000000" w:themeColor="text1"/>
          <w:lang w:eastAsia="en-US"/>
        </w:rPr>
        <w:t>: analisar qual índice ou taxa é utilizado como referência para atualizar os retornos dos projetos, permitindo assim avaliar a relação desses projetos com variáveis macroeconômicas.</w:t>
      </w:r>
    </w:p>
    <w:p w14:paraId="6EAD0730" w14:textId="78E381BF" w:rsidR="00CC7B33" w:rsidRPr="00CC7B33" w:rsidRDefault="00CC7B33" w:rsidP="00CC7B33">
      <w:pPr>
        <w:pStyle w:val="ListParagraph"/>
        <w:numPr>
          <w:ilvl w:val="0"/>
          <w:numId w:val="9"/>
        </w:numPr>
        <w:spacing w:before="0" w:after="0"/>
        <w:rPr>
          <w:rFonts w:asciiTheme="minorHAnsi" w:eastAsiaTheme="minorHAnsi" w:hAnsiTheme="minorHAnsi" w:cstheme="minorBidi"/>
          <w:color w:val="000000" w:themeColor="text1"/>
          <w:lang w:eastAsia="en-US"/>
        </w:rPr>
      </w:pPr>
      <w:r w:rsidRPr="00A3568F">
        <w:rPr>
          <w:rFonts w:asciiTheme="minorHAnsi" w:eastAsiaTheme="minorHAnsi" w:hAnsiTheme="minorHAnsi" w:cstheme="minorBidi"/>
          <w:b/>
          <w:bCs/>
          <w:color w:val="000000" w:themeColor="text1"/>
          <w:lang w:eastAsia="en-US"/>
        </w:rPr>
        <w:t>Taxa anual perseguida</w:t>
      </w:r>
      <w:r w:rsidRPr="00CC7B33">
        <w:rPr>
          <w:rFonts w:asciiTheme="minorHAnsi" w:eastAsiaTheme="minorHAnsi" w:hAnsiTheme="minorHAnsi" w:cstheme="minorBidi"/>
          <w:color w:val="000000" w:themeColor="text1"/>
          <w:lang w:eastAsia="en-US"/>
        </w:rPr>
        <w:t>: examinar a taxa de retorno anual projetada para cada projeto, o que ajuda a avaliar a atratividade financeira do investimento em relação a outros veículos de investimento.</w:t>
      </w:r>
    </w:p>
    <w:p w14:paraId="7EF99F0A" w14:textId="38E35451" w:rsidR="00CC7B33" w:rsidRPr="00CC7B33" w:rsidRDefault="00CC7B33" w:rsidP="00CC7B33">
      <w:pPr>
        <w:pStyle w:val="ListParagraph"/>
        <w:numPr>
          <w:ilvl w:val="0"/>
          <w:numId w:val="9"/>
        </w:numPr>
        <w:spacing w:before="0" w:after="0"/>
        <w:rPr>
          <w:rFonts w:asciiTheme="minorHAnsi" w:eastAsiaTheme="minorHAnsi" w:hAnsiTheme="minorHAnsi" w:cstheme="minorBidi"/>
          <w:color w:val="000000" w:themeColor="text1"/>
          <w:lang w:eastAsia="en-US"/>
        </w:rPr>
      </w:pPr>
      <w:r w:rsidRPr="00A3568F">
        <w:rPr>
          <w:rFonts w:asciiTheme="minorHAnsi" w:eastAsiaTheme="minorHAnsi" w:hAnsiTheme="minorHAnsi" w:cstheme="minorBidi"/>
          <w:b/>
          <w:bCs/>
          <w:color w:val="000000" w:themeColor="text1"/>
          <w:lang w:eastAsia="en-US"/>
        </w:rPr>
        <w:t xml:space="preserve">Taxa de aquisição e </w:t>
      </w:r>
      <w:r w:rsidRPr="00A3568F">
        <w:rPr>
          <w:rFonts w:asciiTheme="minorHAnsi" w:eastAsiaTheme="minorHAnsi" w:hAnsiTheme="minorHAnsi" w:cstheme="minorBidi"/>
          <w:b/>
          <w:bCs/>
          <w:i/>
          <w:iCs/>
          <w:color w:val="000000" w:themeColor="text1"/>
          <w:lang w:eastAsia="en-US"/>
        </w:rPr>
        <w:t>spread</w:t>
      </w:r>
      <w:r w:rsidRPr="00A3568F">
        <w:rPr>
          <w:rFonts w:asciiTheme="minorHAnsi" w:eastAsiaTheme="minorHAnsi" w:hAnsiTheme="minorHAnsi" w:cstheme="minorBidi"/>
          <w:b/>
          <w:bCs/>
          <w:color w:val="000000" w:themeColor="text1"/>
          <w:lang w:eastAsia="en-US"/>
        </w:rPr>
        <w:t xml:space="preserve"> de aquisição</w:t>
      </w:r>
      <w:r w:rsidRPr="00CC7B33">
        <w:rPr>
          <w:rFonts w:asciiTheme="minorHAnsi" w:eastAsiaTheme="minorHAnsi" w:hAnsiTheme="minorHAnsi" w:cstheme="minorBidi"/>
          <w:color w:val="000000" w:themeColor="text1"/>
          <w:lang w:eastAsia="en-US"/>
        </w:rPr>
        <w:t xml:space="preserve">: considerar as taxas de aquisição cobradas ao investidor e o </w:t>
      </w:r>
      <w:r w:rsidRPr="00A3568F">
        <w:rPr>
          <w:rFonts w:asciiTheme="minorHAnsi" w:eastAsiaTheme="minorHAnsi" w:hAnsiTheme="minorHAnsi" w:cstheme="minorBidi"/>
          <w:i/>
          <w:iCs/>
          <w:color w:val="000000" w:themeColor="text1"/>
          <w:lang w:eastAsia="en-US"/>
        </w:rPr>
        <w:t>spread</w:t>
      </w:r>
      <w:r w:rsidRPr="00CC7B33">
        <w:rPr>
          <w:rFonts w:asciiTheme="minorHAnsi" w:eastAsiaTheme="minorHAnsi" w:hAnsiTheme="minorHAnsi" w:cstheme="minorBidi"/>
          <w:color w:val="000000" w:themeColor="text1"/>
          <w:lang w:eastAsia="en-US"/>
        </w:rPr>
        <w:t xml:space="preserve"> praticado na compra dos projetos, pois isso impacta diretamente a rentabilidade final do investimento.</w:t>
      </w:r>
    </w:p>
    <w:p w14:paraId="49574455" w14:textId="47B4D3A1" w:rsidR="00CC7B33" w:rsidRPr="00CC7B33" w:rsidRDefault="00CC7B33" w:rsidP="00CC7B33">
      <w:pPr>
        <w:pStyle w:val="ListParagraph"/>
        <w:numPr>
          <w:ilvl w:val="0"/>
          <w:numId w:val="9"/>
        </w:numPr>
        <w:spacing w:before="0" w:after="0"/>
        <w:rPr>
          <w:rFonts w:asciiTheme="minorHAnsi" w:eastAsiaTheme="minorHAnsi" w:hAnsiTheme="minorHAnsi" w:cstheme="minorBidi"/>
          <w:color w:val="000000" w:themeColor="text1"/>
          <w:lang w:eastAsia="en-US"/>
        </w:rPr>
      </w:pPr>
      <w:proofErr w:type="spellStart"/>
      <w:r w:rsidRPr="00A3568F">
        <w:rPr>
          <w:rFonts w:asciiTheme="minorHAnsi" w:eastAsiaTheme="minorHAnsi" w:hAnsiTheme="minorHAnsi" w:cstheme="minorBidi"/>
          <w:b/>
          <w:bCs/>
          <w:i/>
          <w:iCs/>
          <w:color w:val="000000" w:themeColor="text1"/>
          <w:lang w:eastAsia="en-US"/>
        </w:rPr>
        <w:t>Duration</w:t>
      </w:r>
      <w:proofErr w:type="spellEnd"/>
      <w:r w:rsidRPr="00CC7B33">
        <w:rPr>
          <w:rFonts w:asciiTheme="minorHAnsi" w:eastAsiaTheme="minorHAnsi" w:hAnsiTheme="minorHAnsi" w:cstheme="minorBidi"/>
          <w:color w:val="000000" w:themeColor="text1"/>
          <w:lang w:eastAsia="en-US"/>
        </w:rPr>
        <w:t>: avaliar o tempo médio que os investidores estarão expostos a cada projeto, o que auxilia na análise da exposição a flutuações nas taxas de juros e a variáveis macroeconômicas ao longo do tempo.</w:t>
      </w:r>
    </w:p>
    <w:p w14:paraId="33E55AE7" w14:textId="1DDDB6BB" w:rsidR="00CC7B33" w:rsidRPr="00CC7B33" w:rsidRDefault="00CC7B33" w:rsidP="00CC7B33">
      <w:pPr>
        <w:pStyle w:val="ListParagraph"/>
        <w:numPr>
          <w:ilvl w:val="0"/>
          <w:numId w:val="9"/>
        </w:numPr>
        <w:spacing w:before="0" w:after="0"/>
        <w:rPr>
          <w:rFonts w:asciiTheme="minorHAnsi" w:eastAsiaTheme="minorHAnsi" w:hAnsiTheme="minorHAnsi" w:cstheme="minorBidi"/>
          <w:color w:val="000000" w:themeColor="text1"/>
          <w:lang w:eastAsia="en-US"/>
        </w:rPr>
      </w:pPr>
      <w:r w:rsidRPr="00A3568F">
        <w:rPr>
          <w:rFonts w:asciiTheme="minorHAnsi" w:eastAsiaTheme="minorHAnsi" w:hAnsiTheme="minorHAnsi" w:cstheme="minorBidi"/>
          <w:b/>
          <w:bCs/>
          <w:color w:val="000000" w:themeColor="text1"/>
          <w:lang w:eastAsia="en-US"/>
        </w:rPr>
        <w:t>Emissor</w:t>
      </w:r>
      <w:r w:rsidRPr="00CC7B33">
        <w:rPr>
          <w:rFonts w:asciiTheme="minorHAnsi" w:eastAsiaTheme="minorHAnsi" w:hAnsiTheme="minorHAnsi" w:cstheme="minorBidi"/>
          <w:color w:val="000000" w:themeColor="text1"/>
          <w:lang w:eastAsia="en-US"/>
        </w:rPr>
        <w:t>: identificar as empresas ou entidades que emitem os projetos e suas reputações no mercado para se avaliar a qualidade dos emissores e a probabilidade de sucesso dos projetos.</w:t>
      </w:r>
    </w:p>
    <w:p w14:paraId="00DD2A96" w14:textId="5CEC6980" w:rsidR="00CC7B33" w:rsidRPr="00CC7B33" w:rsidRDefault="00CC7B33" w:rsidP="00CC7B33">
      <w:pPr>
        <w:pStyle w:val="ListParagraph"/>
        <w:numPr>
          <w:ilvl w:val="0"/>
          <w:numId w:val="9"/>
        </w:numPr>
        <w:spacing w:before="0" w:after="0"/>
        <w:rPr>
          <w:rFonts w:asciiTheme="minorHAnsi" w:eastAsiaTheme="minorHAnsi" w:hAnsiTheme="minorHAnsi" w:cstheme="minorBidi"/>
          <w:color w:val="000000" w:themeColor="text1"/>
          <w:lang w:eastAsia="en-US"/>
        </w:rPr>
      </w:pPr>
      <w:r w:rsidRPr="00A3568F">
        <w:rPr>
          <w:rFonts w:asciiTheme="minorHAnsi" w:eastAsiaTheme="minorHAnsi" w:hAnsiTheme="minorHAnsi" w:cstheme="minorBidi"/>
          <w:b/>
          <w:bCs/>
          <w:color w:val="000000" w:themeColor="text1"/>
          <w:lang w:eastAsia="en-US"/>
        </w:rPr>
        <w:lastRenderedPageBreak/>
        <w:t>Setor</w:t>
      </w:r>
      <w:r w:rsidRPr="00CC7B33">
        <w:rPr>
          <w:rFonts w:asciiTheme="minorHAnsi" w:eastAsiaTheme="minorHAnsi" w:hAnsiTheme="minorHAnsi" w:cstheme="minorBidi"/>
          <w:color w:val="000000" w:themeColor="text1"/>
          <w:lang w:eastAsia="en-US"/>
        </w:rPr>
        <w:t>: categorizar os projetos em diferentes setores de infraestrutura (energia, transportes, saneamento, logística, telecomunicações etc.) para se analisar a diversificação do portfólio sob a ótica setorial.</w:t>
      </w:r>
    </w:p>
    <w:p w14:paraId="3FB767BA" w14:textId="763C2156" w:rsidR="00CC7B33" w:rsidRPr="00CC7B33" w:rsidRDefault="00CC7B33" w:rsidP="00CC7B33">
      <w:pPr>
        <w:pStyle w:val="ListParagraph"/>
        <w:numPr>
          <w:ilvl w:val="0"/>
          <w:numId w:val="9"/>
        </w:numPr>
        <w:spacing w:before="0" w:after="0"/>
        <w:rPr>
          <w:rFonts w:asciiTheme="minorHAnsi" w:eastAsiaTheme="minorHAnsi" w:hAnsiTheme="minorHAnsi" w:cstheme="minorBidi"/>
          <w:color w:val="000000" w:themeColor="text1"/>
          <w:lang w:eastAsia="en-US"/>
        </w:rPr>
      </w:pPr>
      <w:r w:rsidRPr="00A3568F">
        <w:rPr>
          <w:rFonts w:asciiTheme="minorHAnsi" w:eastAsiaTheme="minorHAnsi" w:hAnsiTheme="minorHAnsi" w:cstheme="minorBidi"/>
          <w:b/>
          <w:bCs/>
          <w:i/>
          <w:iCs/>
          <w:color w:val="000000" w:themeColor="text1"/>
          <w:lang w:eastAsia="en-US"/>
        </w:rPr>
        <w:t>Rating</w:t>
      </w:r>
      <w:r w:rsidRPr="00CC7B33">
        <w:rPr>
          <w:rFonts w:asciiTheme="minorHAnsi" w:eastAsiaTheme="minorHAnsi" w:hAnsiTheme="minorHAnsi" w:cstheme="minorBidi"/>
          <w:color w:val="000000" w:themeColor="text1"/>
          <w:lang w:eastAsia="en-US"/>
        </w:rPr>
        <w:t>: verificar o rating de crédito atribuído aos projetos pelos órgãos de avaliação de risco, o que proporciona uma perspectiva sobre a solidez financeira e a capacidade de pagamento dos emissores.</w:t>
      </w:r>
    </w:p>
    <w:p w14:paraId="68A340A5" w14:textId="77777777" w:rsidR="00CC7B33" w:rsidRDefault="00CC7B33" w:rsidP="00CC7B33">
      <w:pPr>
        <w:spacing w:before="0" w:after="0"/>
        <w:rPr>
          <w:rFonts w:asciiTheme="minorHAnsi" w:eastAsiaTheme="minorHAnsi" w:hAnsiTheme="minorHAnsi" w:cstheme="minorBidi"/>
          <w:color w:val="000000" w:themeColor="text1"/>
          <w:lang w:eastAsia="en-US"/>
        </w:rPr>
      </w:pPr>
    </w:p>
    <w:p w14:paraId="4A4C1A15" w14:textId="1BD13980" w:rsidR="00CC7B33" w:rsidRPr="00CC7B33" w:rsidRDefault="00CC7B33" w:rsidP="00CC7B33">
      <w:pPr>
        <w:spacing w:before="0" w:after="0"/>
        <w:rPr>
          <w:rFonts w:asciiTheme="minorHAnsi" w:eastAsiaTheme="minorHAnsi" w:hAnsiTheme="minorHAnsi" w:cstheme="minorBidi"/>
          <w:color w:val="000000" w:themeColor="text1"/>
          <w:lang w:eastAsia="en-US"/>
        </w:rPr>
      </w:pPr>
      <w:r w:rsidRPr="00CC7B33">
        <w:rPr>
          <w:rFonts w:asciiTheme="minorHAnsi" w:eastAsiaTheme="minorHAnsi" w:hAnsiTheme="minorHAnsi" w:cstheme="minorBidi"/>
          <w:color w:val="000000" w:themeColor="text1"/>
          <w:lang w:eastAsia="en-US"/>
        </w:rPr>
        <w:t>A análise indicada até então neste artigo proporciona um panorama completo sobre a composição do portfólio do fundo e a saúde dos projetos alocados. Além disso, ela possibilita um entendimento mais preciso do potencial de rentabilidade, dos riscos envolvidos e do alinhamento dos projetos com os objetivos de investimento do fundo e seus investidores. Esse nível de detalhamento minucioso na análise é trabalhoso, mas segue o padrão de como investidores profissionais e institucionais fazem. O processo é fundamental para tomar decisões informadas e bem embasadas no contexto do mercado de infraestrutura e dos FI Infra.</w:t>
      </w:r>
      <w:r w:rsidR="00EC340B">
        <w:rPr>
          <w:rFonts w:asciiTheme="minorHAnsi" w:eastAsiaTheme="minorHAnsi" w:hAnsiTheme="minorHAnsi" w:cstheme="minorBidi"/>
          <w:color w:val="000000" w:themeColor="text1"/>
          <w:lang w:eastAsia="en-US"/>
        </w:rPr>
        <w:t xml:space="preserve"> </w:t>
      </w:r>
      <w:r w:rsidRPr="00CC7B33">
        <w:rPr>
          <w:rFonts w:asciiTheme="minorHAnsi" w:eastAsiaTheme="minorHAnsi" w:hAnsiTheme="minorHAnsi" w:cstheme="minorBidi"/>
          <w:color w:val="000000" w:themeColor="text1"/>
          <w:lang w:eastAsia="en-US"/>
        </w:rPr>
        <w:t>Cabe ainda ressaltar que, depois da decisão de investimento tomada, deve-se acompanhar periodicamente o fundo. É de praxe neste mercado a produção de relatórios mensais com a atualização dos dados para que cada investidor consiga ter acesso aos resultados obtidos e a eventuais mudanças de rota na estratégia de investimentos do fundo.</w:t>
      </w:r>
    </w:p>
    <w:p w14:paraId="005D45AC" w14:textId="77777777" w:rsidR="00CC7B33" w:rsidRDefault="00CC7B33" w:rsidP="00CC7B33">
      <w:pPr>
        <w:spacing w:before="0" w:after="0"/>
        <w:rPr>
          <w:rFonts w:asciiTheme="minorHAnsi" w:eastAsiaTheme="minorHAnsi" w:hAnsiTheme="minorHAnsi" w:cstheme="minorBidi"/>
          <w:color w:val="000000" w:themeColor="text1"/>
          <w:lang w:eastAsia="en-US"/>
        </w:rPr>
      </w:pPr>
    </w:p>
    <w:p w14:paraId="1EC55CC6" w14:textId="0854EC0E" w:rsidR="00BE797C" w:rsidRPr="00BE797C" w:rsidRDefault="00050662" w:rsidP="00915BB9">
      <w:pPr>
        <w:spacing w:after="0"/>
      </w:pPr>
      <w:r w:rsidRPr="00050662">
        <w:rPr>
          <w:rFonts w:ascii="Calibri" w:eastAsia="Calibri" w:hAnsi="Calibri" w:cs="Times New Roman"/>
          <w:b/>
          <w:i/>
          <w:lang w:eastAsia="en-US"/>
        </w:rPr>
        <w:t>* </w:t>
      </w:r>
      <w:r w:rsidR="00C4263C" w:rsidRPr="00C4263C">
        <w:rPr>
          <w:rFonts w:ascii="Calibri" w:eastAsia="Calibri" w:hAnsi="Calibri" w:cs="Times New Roman"/>
          <w:b/>
          <w:i/>
          <w:lang w:eastAsia="en-US"/>
        </w:rPr>
        <w:t xml:space="preserve">Carlos Heitor Campani é PhD em Finanças, Diretor Acadêmico da </w:t>
      </w:r>
      <w:proofErr w:type="spellStart"/>
      <w:r w:rsidR="00C4263C" w:rsidRPr="00C4263C">
        <w:rPr>
          <w:rFonts w:ascii="Calibri" w:eastAsia="Calibri" w:hAnsi="Calibri" w:cs="Times New Roman"/>
          <w:b/>
          <w:i/>
          <w:lang w:eastAsia="en-US"/>
        </w:rPr>
        <w:t>iluminus</w:t>
      </w:r>
      <w:proofErr w:type="spellEnd"/>
      <w:r w:rsidR="00C4263C" w:rsidRPr="00C4263C">
        <w:rPr>
          <w:rFonts w:ascii="Calibri" w:eastAsia="Calibri" w:hAnsi="Calibri" w:cs="Times New Roman"/>
          <w:b/>
          <w:i/>
          <w:lang w:eastAsia="en-US"/>
        </w:rPr>
        <w:t xml:space="preserve"> – Academia de Finanças e sócio fundador da CHC </w:t>
      </w:r>
      <w:proofErr w:type="spellStart"/>
      <w:r w:rsidR="00C4263C" w:rsidRPr="00C4263C">
        <w:rPr>
          <w:rFonts w:ascii="Calibri" w:eastAsia="Calibri" w:hAnsi="Calibri" w:cs="Times New Roman"/>
          <w:b/>
          <w:i/>
          <w:lang w:eastAsia="en-US"/>
        </w:rPr>
        <w:t>Finance</w:t>
      </w:r>
      <w:proofErr w:type="spellEnd"/>
      <w:r w:rsidR="00C4263C" w:rsidRPr="00C4263C">
        <w:rPr>
          <w:rFonts w:ascii="Calibri" w:eastAsia="Calibri" w:hAnsi="Calibri" w:cs="Times New Roman"/>
          <w:b/>
          <w:i/>
          <w:lang w:eastAsia="en-US"/>
        </w:rPr>
        <w:t xml:space="preserve">. Ele pode ser encontrado em </w:t>
      </w:r>
      <w:hyperlink r:id="rId9" w:history="1">
        <w:r w:rsidR="00C4263C" w:rsidRPr="00C4263C">
          <w:rPr>
            <w:rStyle w:val="Hyperlink"/>
            <w:rFonts w:ascii="Calibri" w:eastAsia="Calibri" w:hAnsi="Calibri" w:cs="Times New Roman"/>
            <w:b/>
            <w:i/>
            <w:lang w:eastAsia="en-US"/>
          </w:rPr>
          <w:t>www.carlosheitorcampani.com</w:t>
        </w:r>
      </w:hyperlink>
      <w:r w:rsidR="00C4263C" w:rsidRPr="00C4263C">
        <w:rPr>
          <w:rFonts w:ascii="Calibri" w:eastAsia="Calibri" w:hAnsi="Calibri" w:cs="Times New Roman"/>
          <w:b/>
          <w:i/>
          <w:lang w:eastAsia="en-US"/>
        </w:rPr>
        <w:t xml:space="preserve"> e nas redes sociais: @carlosheitorcampani.</w:t>
      </w:r>
    </w:p>
    <w:sectPr w:rsidR="00BE797C" w:rsidRPr="00BE797C" w:rsidSect="002919B1">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4D500" w14:textId="77777777" w:rsidR="00FF6C27" w:rsidRDefault="00FF6C27" w:rsidP="004D2193">
      <w:r>
        <w:separator/>
      </w:r>
    </w:p>
  </w:endnote>
  <w:endnote w:type="continuationSeparator" w:id="0">
    <w:p w14:paraId="6F6B1048" w14:textId="77777777" w:rsidR="00FF6C27" w:rsidRDefault="00FF6C27"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3C6975FF" w:rsidR="00E010F7" w:rsidRDefault="002564D3" w:rsidP="004D2193">
    <w:r>
      <w:rPr>
        <w:noProof/>
      </w:rPr>
      <mc:AlternateContent>
        <mc:Choice Requires="wps">
          <w:drawing>
            <wp:anchor distT="0" distB="0" distL="114300" distR="114300" simplePos="0" relativeHeight="251660288" behindDoc="0" locked="0" layoutInCell="1" allowOverlap="1" wp14:anchorId="34E0869D" wp14:editId="25F20FDB">
              <wp:simplePos x="0" y="0"/>
              <wp:positionH relativeFrom="margin">
                <wp:posOffset>1957705</wp:posOffset>
              </wp:positionH>
              <wp:positionV relativeFrom="paragraph">
                <wp:posOffset>355600</wp:posOffset>
              </wp:positionV>
              <wp:extent cx="1958196" cy="422694"/>
              <wp:effectExtent l="0" t="0" r="0" b="0"/>
              <wp:wrapNone/>
              <wp:docPr id="484185299" name="Caixa de Texto 484185299"/>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2085BAF" w14:textId="77777777" w:rsidR="002564D3" w:rsidRDefault="002564D3" w:rsidP="002564D3">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5B218AD" w14:textId="77777777" w:rsidR="002564D3" w:rsidRPr="00FC6403" w:rsidRDefault="002564D3" w:rsidP="002564D3">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0869D" id="_x0000_t202" coordsize="21600,21600" o:spt="202" path="m,l,21600r21600,l21600,xe">
              <v:stroke joinstyle="miter"/>
              <v:path gradientshapeok="t" o:connecttype="rect"/>
            </v:shapetype>
            <v:shape id="Caixa de Texto 484185299" o:spid="_x0000_s1026" type="#_x0000_t202" style="position:absolute;left:0;text-align:left;margin-left:154.15pt;margin-top:28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" filled="f" stroked="f" strokeweight=".5pt">
              <v:textbox>
                <w:txbxContent>
                  <w:p w14:paraId="52085BAF" w14:textId="77777777" w:rsidR="002564D3" w:rsidRDefault="002564D3" w:rsidP="002564D3">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5B218AD" w14:textId="77777777" w:rsidR="002564D3" w:rsidRPr="00FC6403" w:rsidRDefault="002564D3" w:rsidP="002564D3">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4B099" w14:textId="77777777" w:rsidR="00FF6C27" w:rsidRDefault="00FF6C27" w:rsidP="004D2193">
      <w:r>
        <w:separator/>
      </w:r>
    </w:p>
  </w:footnote>
  <w:footnote w:type="continuationSeparator" w:id="0">
    <w:p w14:paraId="0B7056BD" w14:textId="77777777" w:rsidR="00FF6C27" w:rsidRDefault="00FF6C27"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C4263C"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609EB07" w:rsidR="00E010F7" w:rsidRDefault="00A3219C" w:rsidP="00866539">
    <w:pPr>
      <w:ind w:right="360"/>
    </w:pPr>
    <w:r w:rsidRPr="000C59A7">
      <w:rPr>
        <w:noProof/>
      </w:rPr>
      <w:drawing>
        <wp:anchor distT="0" distB="0" distL="114300" distR="114300" simplePos="0" relativeHeight="251659264" behindDoc="0" locked="0" layoutInCell="1" allowOverlap="1" wp14:anchorId="16D805ED" wp14:editId="0C9159FD">
          <wp:simplePos x="0" y="0"/>
          <wp:positionH relativeFrom="margin">
            <wp:posOffset>2074220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0CB965E7">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C2546"/>
    <w:multiLevelType w:val="hybridMultilevel"/>
    <w:tmpl w:val="6720BD58"/>
    <w:lvl w:ilvl="0" w:tplc="2918C0F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2" w15:restartNumberingAfterBreak="0">
    <w:nsid w:val="23005CB0"/>
    <w:multiLevelType w:val="hybridMultilevel"/>
    <w:tmpl w:val="A7EC7236"/>
    <w:lvl w:ilvl="0" w:tplc="8682A20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15:restartNumberingAfterBreak="0">
    <w:nsid w:val="23617C57"/>
    <w:multiLevelType w:val="hybridMultilevel"/>
    <w:tmpl w:val="F16413D8"/>
    <w:lvl w:ilvl="0" w:tplc="0409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E25713"/>
    <w:multiLevelType w:val="hybridMultilevel"/>
    <w:tmpl w:val="A6069EA0"/>
    <w:lvl w:ilvl="0" w:tplc="AC0CB94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C3009E"/>
    <w:multiLevelType w:val="hybridMultilevel"/>
    <w:tmpl w:val="4D6EEED4"/>
    <w:lvl w:ilvl="0" w:tplc="07581FF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16cid:durableId="2070612100">
    <w:abstractNumId w:val="8"/>
  </w:num>
  <w:num w:numId="2" w16cid:durableId="584147039">
    <w:abstractNumId w:val="4"/>
  </w:num>
  <w:num w:numId="3" w16cid:durableId="1713310607">
    <w:abstractNumId w:val="1"/>
  </w:num>
  <w:num w:numId="4" w16cid:durableId="1120028956">
    <w:abstractNumId w:val="6"/>
  </w:num>
  <w:num w:numId="5" w16cid:durableId="77823910">
    <w:abstractNumId w:val="7"/>
  </w:num>
  <w:num w:numId="6" w16cid:durableId="1740010710">
    <w:abstractNumId w:val="9"/>
  </w:num>
  <w:num w:numId="7" w16cid:durableId="1663119734">
    <w:abstractNumId w:val="2"/>
  </w:num>
  <w:num w:numId="8" w16cid:durableId="2108622594">
    <w:abstractNumId w:val="0"/>
  </w:num>
  <w:num w:numId="9" w16cid:durableId="1017004600">
    <w:abstractNumId w:val="3"/>
  </w:num>
  <w:num w:numId="10" w16cid:durableId="17356659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0150"/>
    <w:rsid w:val="000037CF"/>
    <w:rsid w:val="00006C43"/>
    <w:rsid w:val="00014B62"/>
    <w:rsid w:val="00020392"/>
    <w:rsid w:val="00022FA2"/>
    <w:rsid w:val="00023D8E"/>
    <w:rsid w:val="00025443"/>
    <w:rsid w:val="00034CA4"/>
    <w:rsid w:val="00041667"/>
    <w:rsid w:val="0004267A"/>
    <w:rsid w:val="00043434"/>
    <w:rsid w:val="0004482C"/>
    <w:rsid w:val="00046986"/>
    <w:rsid w:val="0005035F"/>
    <w:rsid w:val="000504E3"/>
    <w:rsid w:val="00050662"/>
    <w:rsid w:val="00055EFF"/>
    <w:rsid w:val="0005756A"/>
    <w:rsid w:val="00057D43"/>
    <w:rsid w:val="000608DD"/>
    <w:rsid w:val="00070D6B"/>
    <w:rsid w:val="000713F5"/>
    <w:rsid w:val="000724E9"/>
    <w:rsid w:val="0007573C"/>
    <w:rsid w:val="00076C48"/>
    <w:rsid w:val="00081A01"/>
    <w:rsid w:val="00081AB6"/>
    <w:rsid w:val="00084B7C"/>
    <w:rsid w:val="000862E6"/>
    <w:rsid w:val="000974EC"/>
    <w:rsid w:val="000A17A0"/>
    <w:rsid w:val="000A31E4"/>
    <w:rsid w:val="000A59A6"/>
    <w:rsid w:val="000A7CC6"/>
    <w:rsid w:val="000B4E56"/>
    <w:rsid w:val="000B6A76"/>
    <w:rsid w:val="000C35AE"/>
    <w:rsid w:val="000C5B33"/>
    <w:rsid w:val="000C5C97"/>
    <w:rsid w:val="000D2AC9"/>
    <w:rsid w:val="000D38DC"/>
    <w:rsid w:val="000D4DE4"/>
    <w:rsid w:val="000D5F48"/>
    <w:rsid w:val="000D67D9"/>
    <w:rsid w:val="000D7384"/>
    <w:rsid w:val="000E061F"/>
    <w:rsid w:val="000E4EAD"/>
    <w:rsid w:val="000F02EA"/>
    <w:rsid w:val="000F0970"/>
    <w:rsid w:val="000F2196"/>
    <w:rsid w:val="000F2C07"/>
    <w:rsid w:val="000F4ABA"/>
    <w:rsid w:val="000F61D5"/>
    <w:rsid w:val="000F7C3D"/>
    <w:rsid w:val="00102242"/>
    <w:rsid w:val="00111DCB"/>
    <w:rsid w:val="00112EBB"/>
    <w:rsid w:val="00113B95"/>
    <w:rsid w:val="001156BB"/>
    <w:rsid w:val="00116F00"/>
    <w:rsid w:val="00120E27"/>
    <w:rsid w:val="00121F6D"/>
    <w:rsid w:val="00123E4B"/>
    <w:rsid w:val="00124820"/>
    <w:rsid w:val="00127E86"/>
    <w:rsid w:val="0013064B"/>
    <w:rsid w:val="00132D48"/>
    <w:rsid w:val="00134E63"/>
    <w:rsid w:val="0013707C"/>
    <w:rsid w:val="001403B7"/>
    <w:rsid w:val="00141F9C"/>
    <w:rsid w:val="00143F7C"/>
    <w:rsid w:val="00144FF8"/>
    <w:rsid w:val="00146D4A"/>
    <w:rsid w:val="001477FF"/>
    <w:rsid w:val="00147B95"/>
    <w:rsid w:val="00155307"/>
    <w:rsid w:val="001608C2"/>
    <w:rsid w:val="00167DB2"/>
    <w:rsid w:val="0017077F"/>
    <w:rsid w:val="00171F9F"/>
    <w:rsid w:val="00173471"/>
    <w:rsid w:val="00180F09"/>
    <w:rsid w:val="001822B4"/>
    <w:rsid w:val="001825EE"/>
    <w:rsid w:val="001854C8"/>
    <w:rsid w:val="001862D8"/>
    <w:rsid w:val="00186524"/>
    <w:rsid w:val="00193954"/>
    <w:rsid w:val="00193BD2"/>
    <w:rsid w:val="00194202"/>
    <w:rsid w:val="001A2767"/>
    <w:rsid w:val="001A292C"/>
    <w:rsid w:val="001A2C53"/>
    <w:rsid w:val="001B08EC"/>
    <w:rsid w:val="001B0911"/>
    <w:rsid w:val="001B593B"/>
    <w:rsid w:val="001C254B"/>
    <w:rsid w:val="001C2823"/>
    <w:rsid w:val="001C2D9F"/>
    <w:rsid w:val="001C3249"/>
    <w:rsid w:val="001C6488"/>
    <w:rsid w:val="001C7E30"/>
    <w:rsid w:val="001D306A"/>
    <w:rsid w:val="001D54C7"/>
    <w:rsid w:val="001E22FC"/>
    <w:rsid w:val="001E445F"/>
    <w:rsid w:val="001E4990"/>
    <w:rsid w:val="001E5EBB"/>
    <w:rsid w:val="001F01DC"/>
    <w:rsid w:val="001F0256"/>
    <w:rsid w:val="001F0F36"/>
    <w:rsid w:val="001F4648"/>
    <w:rsid w:val="001F49A8"/>
    <w:rsid w:val="00200E91"/>
    <w:rsid w:val="00201883"/>
    <w:rsid w:val="00202CB3"/>
    <w:rsid w:val="00207567"/>
    <w:rsid w:val="002103E7"/>
    <w:rsid w:val="0021434C"/>
    <w:rsid w:val="00215F31"/>
    <w:rsid w:val="002162B7"/>
    <w:rsid w:val="00216B7A"/>
    <w:rsid w:val="00217731"/>
    <w:rsid w:val="00217B38"/>
    <w:rsid w:val="002206C9"/>
    <w:rsid w:val="00220A88"/>
    <w:rsid w:val="00220F77"/>
    <w:rsid w:val="00221CE7"/>
    <w:rsid w:val="00223E4F"/>
    <w:rsid w:val="00225A10"/>
    <w:rsid w:val="00226600"/>
    <w:rsid w:val="00226873"/>
    <w:rsid w:val="00244B8B"/>
    <w:rsid w:val="0024500E"/>
    <w:rsid w:val="002454E2"/>
    <w:rsid w:val="00245E73"/>
    <w:rsid w:val="00246718"/>
    <w:rsid w:val="00247DCB"/>
    <w:rsid w:val="00250859"/>
    <w:rsid w:val="00252BF6"/>
    <w:rsid w:val="002539B1"/>
    <w:rsid w:val="0025481F"/>
    <w:rsid w:val="0025521D"/>
    <w:rsid w:val="002564D3"/>
    <w:rsid w:val="00256FF6"/>
    <w:rsid w:val="002602AC"/>
    <w:rsid w:val="002614EB"/>
    <w:rsid w:val="00262EF1"/>
    <w:rsid w:val="00263A4F"/>
    <w:rsid w:val="0026470D"/>
    <w:rsid w:val="00264728"/>
    <w:rsid w:val="00266F59"/>
    <w:rsid w:val="0027052D"/>
    <w:rsid w:val="0027142F"/>
    <w:rsid w:val="00271884"/>
    <w:rsid w:val="0027328E"/>
    <w:rsid w:val="00276B6A"/>
    <w:rsid w:val="002829D7"/>
    <w:rsid w:val="002866AD"/>
    <w:rsid w:val="00290673"/>
    <w:rsid w:val="00290E65"/>
    <w:rsid w:val="002919B1"/>
    <w:rsid w:val="00292BAD"/>
    <w:rsid w:val="00294A05"/>
    <w:rsid w:val="002961C8"/>
    <w:rsid w:val="002A7B47"/>
    <w:rsid w:val="002A7D12"/>
    <w:rsid w:val="002B020C"/>
    <w:rsid w:val="002B0832"/>
    <w:rsid w:val="002B1880"/>
    <w:rsid w:val="002B3A8B"/>
    <w:rsid w:val="002C08A3"/>
    <w:rsid w:val="002C1687"/>
    <w:rsid w:val="002C1793"/>
    <w:rsid w:val="002C3239"/>
    <w:rsid w:val="002C379B"/>
    <w:rsid w:val="002C6A0E"/>
    <w:rsid w:val="002D172F"/>
    <w:rsid w:val="002D2503"/>
    <w:rsid w:val="002D5542"/>
    <w:rsid w:val="002D775B"/>
    <w:rsid w:val="002E1564"/>
    <w:rsid w:val="002E46C5"/>
    <w:rsid w:val="002E4B2C"/>
    <w:rsid w:val="002E78F7"/>
    <w:rsid w:val="002E7D1D"/>
    <w:rsid w:val="002F0E70"/>
    <w:rsid w:val="002F500E"/>
    <w:rsid w:val="00301759"/>
    <w:rsid w:val="00302005"/>
    <w:rsid w:val="00302D43"/>
    <w:rsid w:val="00303ED9"/>
    <w:rsid w:val="00304F9E"/>
    <w:rsid w:val="00305424"/>
    <w:rsid w:val="00305A52"/>
    <w:rsid w:val="00305AE4"/>
    <w:rsid w:val="00306DA0"/>
    <w:rsid w:val="00310465"/>
    <w:rsid w:val="0031166F"/>
    <w:rsid w:val="00312D14"/>
    <w:rsid w:val="00315C75"/>
    <w:rsid w:val="0031715A"/>
    <w:rsid w:val="003264AC"/>
    <w:rsid w:val="0032680F"/>
    <w:rsid w:val="003305AE"/>
    <w:rsid w:val="00331D82"/>
    <w:rsid w:val="003326CF"/>
    <w:rsid w:val="003346F3"/>
    <w:rsid w:val="00334E08"/>
    <w:rsid w:val="00342976"/>
    <w:rsid w:val="00343067"/>
    <w:rsid w:val="003474DC"/>
    <w:rsid w:val="00351029"/>
    <w:rsid w:val="00366A9B"/>
    <w:rsid w:val="0036799C"/>
    <w:rsid w:val="00367C2B"/>
    <w:rsid w:val="003700B9"/>
    <w:rsid w:val="00371A65"/>
    <w:rsid w:val="003726D3"/>
    <w:rsid w:val="00372E3F"/>
    <w:rsid w:val="00374DDB"/>
    <w:rsid w:val="003778A6"/>
    <w:rsid w:val="00384BD6"/>
    <w:rsid w:val="00390B22"/>
    <w:rsid w:val="00391070"/>
    <w:rsid w:val="003918A2"/>
    <w:rsid w:val="00391BDF"/>
    <w:rsid w:val="0039364B"/>
    <w:rsid w:val="00395433"/>
    <w:rsid w:val="003978F2"/>
    <w:rsid w:val="003A1971"/>
    <w:rsid w:val="003A22AE"/>
    <w:rsid w:val="003A62B0"/>
    <w:rsid w:val="003A6AB1"/>
    <w:rsid w:val="003B1548"/>
    <w:rsid w:val="003B2055"/>
    <w:rsid w:val="003B35D4"/>
    <w:rsid w:val="003B42F4"/>
    <w:rsid w:val="003B7D80"/>
    <w:rsid w:val="003C4250"/>
    <w:rsid w:val="003C56AA"/>
    <w:rsid w:val="003D1081"/>
    <w:rsid w:val="003D183B"/>
    <w:rsid w:val="003D23BA"/>
    <w:rsid w:val="003E05CD"/>
    <w:rsid w:val="003E196A"/>
    <w:rsid w:val="003E3082"/>
    <w:rsid w:val="003E4109"/>
    <w:rsid w:val="003E421E"/>
    <w:rsid w:val="003E4677"/>
    <w:rsid w:val="003E7587"/>
    <w:rsid w:val="003E7756"/>
    <w:rsid w:val="003E7ADD"/>
    <w:rsid w:val="003F0797"/>
    <w:rsid w:val="003F18F8"/>
    <w:rsid w:val="003F2E37"/>
    <w:rsid w:val="003F452B"/>
    <w:rsid w:val="003F69A3"/>
    <w:rsid w:val="004017D3"/>
    <w:rsid w:val="00401C87"/>
    <w:rsid w:val="00403A25"/>
    <w:rsid w:val="00404CDB"/>
    <w:rsid w:val="00407ACC"/>
    <w:rsid w:val="00407D27"/>
    <w:rsid w:val="00414903"/>
    <w:rsid w:val="004153FA"/>
    <w:rsid w:val="00415EBA"/>
    <w:rsid w:val="00416CF2"/>
    <w:rsid w:val="0042198C"/>
    <w:rsid w:val="00424DA3"/>
    <w:rsid w:val="004323C9"/>
    <w:rsid w:val="004327E5"/>
    <w:rsid w:val="00433DF9"/>
    <w:rsid w:val="004343CC"/>
    <w:rsid w:val="004348C2"/>
    <w:rsid w:val="00435D36"/>
    <w:rsid w:val="004364E5"/>
    <w:rsid w:val="00437253"/>
    <w:rsid w:val="00437B2C"/>
    <w:rsid w:val="004419D6"/>
    <w:rsid w:val="00444030"/>
    <w:rsid w:val="00447492"/>
    <w:rsid w:val="004475CD"/>
    <w:rsid w:val="0045047D"/>
    <w:rsid w:val="00452E52"/>
    <w:rsid w:val="00454F9B"/>
    <w:rsid w:val="0045627C"/>
    <w:rsid w:val="0045658C"/>
    <w:rsid w:val="004567CF"/>
    <w:rsid w:val="0045693B"/>
    <w:rsid w:val="0046380F"/>
    <w:rsid w:val="00465A38"/>
    <w:rsid w:val="00472DBA"/>
    <w:rsid w:val="004741AB"/>
    <w:rsid w:val="00475D27"/>
    <w:rsid w:val="00475F7F"/>
    <w:rsid w:val="004764A2"/>
    <w:rsid w:val="00476C42"/>
    <w:rsid w:val="004841DA"/>
    <w:rsid w:val="00484354"/>
    <w:rsid w:val="0048700D"/>
    <w:rsid w:val="00487EBA"/>
    <w:rsid w:val="00493B13"/>
    <w:rsid w:val="00493F0E"/>
    <w:rsid w:val="00495F66"/>
    <w:rsid w:val="00497F91"/>
    <w:rsid w:val="004A3082"/>
    <w:rsid w:val="004A36BD"/>
    <w:rsid w:val="004A75B8"/>
    <w:rsid w:val="004A7C45"/>
    <w:rsid w:val="004B2DA3"/>
    <w:rsid w:val="004B2F7D"/>
    <w:rsid w:val="004B322D"/>
    <w:rsid w:val="004B411D"/>
    <w:rsid w:val="004C16AB"/>
    <w:rsid w:val="004C36F7"/>
    <w:rsid w:val="004C67F3"/>
    <w:rsid w:val="004C752B"/>
    <w:rsid w:val="004D03BE"/>
    <w:rsid w:val="004D2193"/>
    <w:rsid w:val="004D3CE2"/>
    <w:rsid w:val="004D4573"/>
    <w:rsid w:val="004D5711"/>
    <w:rsid w:val="004D6386"/>
    <w:rsid w:val="004D6416"/>
    <w:rsid w:val="004E34F4"/>
    <w:rsid w:val="004E5159"/>
    <w:rsid w:val="004F033C"/>
    <w:rsid w:val="004F2B08"/>
    <w:rsid w:val="004F5688"/>
    <w:rsid w:val="004F7051"/>
    <w:rsid w:val="00500442"/>
    <w:rsid w:val="0050055E"/>
    <w:rsid w:val="0050138C"/>
    <w:rsid w:val="0050370C"/>
    <w:rsid w:val="0050382E"/>
    <w:rsid w:val="00511CD4"/>
    <w:rsid w:val="005129BA"/>
    <w:rsid w:val="0051485D"/>
    <w:rsid w:val="00514D93"/>
    <w:rsid w:val="00517875"/>
    <w:rsid w:val="005242BE"/>
    <w:rsid w:val="00524779"/>
    <w:rsid w:val="00525A1A"/>
    <w:rsid w:val="00525E53"/>
    <w:rsid w:val="0052653E"/>
    <w:rsid w:val="005271C8"/>
    <w:rsid w:val="00527537"/>
    <w:rsid w:val="005322D0"/>
    <w:rsid w:val="00533009"/>
    <w:rsid w:val="0053393A"/>
    <w:rsid w:val="00533E01"/>
    <w:rsid w:val="0053407C"/>
    <w:rsid w:val="005363DE"/>
    <w:rsid w:val="00537880"/>
    <w:rsid w:val="0054452C"/>
    <w:rsid w:val="00545DD4"/>
    <w:rsid w:val="0054702F"/>
    <w:rsid w:val="00550038"/>
    <w:rsid w:val="00550F83"/>
    <w:rsid w:val="0055218C"/>
    <w:rsid w:val="0055227C"/>
    <w:rsid w:val="00553537"/>
    <w:rsid w:val="00553862"/>
    <w:rsid w:val="00555019"/>
    <w:rsid w:val="0056091A"/>
    <w:rsid w:val="00562414"/>
    <w:rsid w:val="005649E7"/>
    <w:rsid w:val="00566117"/>
    <w:rsid w:val="00570FC7"/>
    <w:rsid w:val="005733E5"/>
    <w:rsid w:val="00573D63"/>
    <w:rsid w:val="00575C4C"/>
    <w:rsid w:val="00581B08"/>
    <w:rsid w:val="005838F6"/>
    <w:rsid w:val="0058422E"/>
    <w:rsid w:val="00587F15"/>
    <w:rsid w:val="00590A4D"/>
    <w:rsid w:val="00591BD0"/>
    <w:rsid w:val="00592119"/>
    <w:rsid w:val="00595852"/>
    <w:rsid w:val="00595B22"/>
    <w:rsid w:val="00595F89"/>
    <w:rsid w:val="005A2EE9"/>
    <w:rsid w:val="005A4E13"/>
    <w:rsid w:val="005B04A9"/>
    <w:rsid w:val="005B0F08"/>
    <w:rsid w:val="005B3CEA"/>
    <w:rsid w:val="005B58CA"/>
    <w:rsid w:val="005B6895"/>
    <w:rsid w:val="005C0AA3"/>
    <w:rsid w:val="005C1453"/>
    <w:rsid w:val="005C1BE0"/>
    <w:rsid w:val="005C4E38"/>
    <w:rsid w:val="005C6ABF"/>
    <w:rsid w:val="005C7A11"/>
    <w:rsid w:val="005C7C1E"/>
    <w:rsid w:val="005D4BA3"/>
    <w:rsid w:val="005D57FA"/>
    <w:rsid w:val="005D5CB0"/>
    <w:rsid w:val="005D628F"/>
    <w:rsid w:val="005E0192"/>
    <w:rsid w:val="005E2364"/>
    <w:rsid w:val="005E3B64"/>
    <w:rsid w:val="005E5057"/>
    <w:rsid w:val="005E651F"/>
    <w:rsid w:val="005F080D"/>
    <w:rsid w:val="005F48BC"/>
    <w:rsid w:val="005F5D37"/>
    <w:rsid w:val="005F63C2"/>
    <w:rsid w:val="005F7DD7"/>
    <w:rsid w:val="00600FDA"/>
    <w:rsid w:val="00601CD5"/>
    <w:rsid w:val="0060234A"/>
    <w:rsid w:val="006024AA"/>
    <w:rsid w:val="0060346F"/>
    <w:rsid w:val="00604D85"/>
    <w:rsid w:val="00605765"/>
    <w:rsid w:val="0060650A"/>
    <w:rsid w:val="00610549"/>
    <w:rsid w:val="00610E92"/>
    <w:rsid w:val="00612BD8"/>
    <w:rsid w:val="00614AEA"/>
    <w:rsid w:val="00614BD3"/>
    <w:rsid w:val="00617658"/>
    <w:rsid w:val="0062213F"/>
    <w:rsid w:val="00623E2C"/>
    <w:rsid w:val="00624FC5"/>
    <w:rsid w:val="00627AFE"/>
    <w:rsid w:val="006353B1"/>
    <w:rsid w:val="006375DA"/>
    <w:rsid w:val="006404EB"/>
    <w:rsid w:val="00646EC4"/>
    <w:rsid w:val="00647272"/>
    <w:rsid w:val="00652B77"/>
    <w:rsid w:val="0065379B"/>
    <w:rsid w:val="0065799D"/>
    <w:rsid w:val="00660571"/>
    <w:rsid w:val="006607CC"/>
    <w:rsid w:val="006609AC"/>
    <w:rsid w:val="00661050"/>
    <w:rsid w:val="00663F02"/>
    <w:rsid w:val="00666B45"/>
    <w:rsid w:val="006676BE"/>
    <w:rsid w:val="0067027C"/>
    <w:rsid w:val="00671D0B"/>
    <w:rsid w:val="006728A6"/>
    <w:rsid w:val="006731A6"/>
    <w:rsid w:val="0067437D"/>
    <w:rsid w:val="006751FA"/>
    <w:rsid w:val="00675548"/>
    <w:rsid w:val="006765BA"/>
    <w:rsid w:val="00692EE7"/>
    <w:rsid w:val="006939A6"/>
    <w:rsid w:val="006A085B"/>
    <w:rsid w:val="006A3921"/>
    <w:rsid w:val="006A79F1"/>
    <w:rsid w:val="006B053C"/>
    <w:rsid w:val="006B162E"/>
    <w:rsid w:val="006B28A6"/>
    <w:rsid w:val="006B328A"/>
    <w:rsid w:val="006B39D4"/>
    <w:rsid w:val="006C07C8"/>
    <w:rsid w:val="006C299B"/>
    <w:rsid w:val="006C65F0"/>
    <w:rsid w:val="006C6CCE"/>
    <w:rsid w:val="006D27FA"/>
    <w:rsid w:val="006D4DE9"/>
    <w:rsid w:val="006D6EC0"/>
    <w:rsid w:val="006E0A60"/>
    <w:rsid w:val="006E0E2E"/>
    <w:rsid w:val="006E1CFD"/>
    <w:rsid w:val="006E4A58"/>
    <w:rsid w:val="006F00F4"/>
    <w:rsid w:val="007074E9"/>
    <w:rsid w:val="00707CA7"/>
    <w:rsid w:val="007107C5"/>
    <w:rsid w:val="007121BE"/>
    <w:rsid w:val="0071340A"/>
    <w:rsid w:val="00715576"/>
    <w:rsid w:val="0071779C"/>
    <w:rsid w:val="007177C7"/>
    <w:rsid w:val="007202E8"/>
    <w:rsid w:val="007234DF"/>
    <w:rsid w:val="00723D31"/>
    <w:rsid w:val="0072731F"/>
    <w:rsid w:val="00730C3D"/>
    <w:rsid w:val="00730DA5"/>
    <w:rsid w:val="0073162A"/>
    <w:rsid w:val="0073537C"/>
    <w:rsid w:val="00736368"/>
    <w:rsid w:val="00737900"/>
    <w:rsid w:val="00740CC9"/>
    <w:rsid w:val="00741FF9"/>
    <w:rsid w:val="00745947"/>
    <w:rsid w:val="00750D39"/>
    <w:rsid w:val="00750D5F"/>
    <w:rsid w:val="00752059"/>
    <w:rsid w:val="0075213B"/>
    <w:rsid w:val="00753B5C"/>
    <w:rsid w:val="00754435"/>
    <w:rsid w:val="00757DFB"/>
    <w:rsid w:val="0076039E"/>
    <w:rsid w:val="00774BAC"/>
    <w:rsid w:val="00776011"/>
    <w:rsid w:val="007764E9"/>
    <w:rsid w:val="007768D8"/>
    <w:rsid w:val="007815C6"/>
    <w:rsid w:val="00783126"/>
    <w:rsid w:val="00784537"/>
    <w:rsid w:val="00785AE7"/>
    <w:rsid w:val="00794378"/>
    <w:rsid w:val="00795312"/>
    <w:rsid w:val="007A2FC5"/>
    <w:rsid w:val="007A344E"/>
    <w:rsid w:val="007A397F"/>
    <w:rsid w:val="007A61B2"/>
    <w:rsid w:val="007A68E2"/>
    <w:rsid w:val="007B2230"/>
    <w:rsid w:val="007B2B89"/>
    <w:rsid w:val="007B547B"/>
    <w:rsid w:val="007B6E22"/>
    <w:rsid w:val="007C4B0E"/>
    <w:rsid w:val="007C5426"/>
    <w:rsid w:val="007C6DB0"/>
    <w:rsid w:val="007D245A"/>
    <w:rsid w:val="007D2B18"/>
    <w:rsid w:val="007D76E4"/>
    <w:rsid w:val="007D79BB"/>
    <w:rsid w:val="007E1824"/>
    <w:rsid w:val="007E1EF8"/>
    <w:rsid w:val="007E3913"/>
    <w:rsid w:val="007E3B30"/>
    <w:rsid w:val="007E3D74"/>
    <w:rsid w:val="007E3F9F"/>
    <w:rsid w:val="007E4E53"/>
    <w:rsid w:val="007E5A41"/>
    <w:rsid w:val="007E626B"/>
    <w:rsid w:val="007E6C30"/>
    <w:rsid w:val="007F03E2"/>
    <w:rsid w:val="007F5E3C"/>
    <w:rsid w:val="007F7C41"/>
    <w:rsid w:val="008000AB"/>
    <w:rsid w:val="00800A8B"/>
    <w:rsid w:val="00804AC7"/>
    <w:rsid w:val="00807462"/>
    <w:rsid w:val="00810988"/>
    <w:rsid w:val="00810C8C"/>
    <w:rsid w:val="00812EEF"/>
    <w:rsid w:val="008131C4"/>
    <w:rsid w:val="00813F9F"/>
    <w:rsid w:val="008165C9"/>
    <w:rsid w:val="00824262"/>
    <w:rsid w:val="00827407"/>
    <w:rsid w:val="008349E8"/>
    <w:rsid w:val="008350CF"/>
    <w:rsid w:val="0084262E"/>
    <w:rsid w:val="00842BC9"/>
    <w:rsid w:val="0084376E"/>
    <w:rsid w:val="0084503E"/>
    <w:rsid w:val="008458D1"/>
    <w:rsid w:val="00852553"/>
    <w:rsid w:val="00853CAB"/>
    <w:rsid w:val="0085452A"/>
    <w:rsid w:val="00857244"/>
    <w:rsid w:val="008615C3"/>
    <w:rsid w:val="008637AC"/>
    <w:rsid w:val="00866539"/>
    <w:rsid w:val="00866E3D"/>
    <w:rsid w:val="00870281"/>
    <w:rsid w:val="00871324"/>
    <w:rsid w:val="008730B2"/>
    <w:rsid w:val="00875FB7"/>
    <w:rsid w:val="00880738"/>
    <w:rsid w:val="0088166F"/>
    <w:rsid w:val="00881FAE"/>
    <w:rsid w:val="00885C27"/>
    <w:rsid w:val="00885DF8"/>
    <w:rsid w:val="008913DF"/>
    <w:rsid w:val="00891AED"/>
    <w:rsid w:val="008A007B"/>
    <w:rsid w:val="008A4454"/>
    <w:rsid w:val="008A4F9B"/>
    <w:rsid w:val="008A5851"/>
    <w:rsid w:val="008A620C"/>
    <w:rsid w:val="008B1254"/>
    <w:rsid w:val="008B199A"/>
    <w:rsid w:val="008B65DD"/>
    <w:rsid w:val="008C4469"/>
    <w:rsid w:val="008C61BF"/>
    <w:rsid w:val="008C6292"/>
    <w:rsid w:val="008C6359"/>
    <w:rsid w:val="008C748F"/>
    <w:rsid w:val="008D1DE5"/>
    <w:rsid w:val="008D2700"/>
    <w:rsid w:val="008D4298"/>
    <w:rsid w:val="008D4A80"/>
    <w:rsid w:val="008D7577"/>
    <w:rsid w:val="008E20FA"/>
    <w:rsid w:val="008E4F36"/>
    <w:rsid w:val="008E65E3"/>
    <w:rsid w:val="008E7A7D"/>
    <w:rsid w:val="008F083A"/>
    <w:rsid w:val="00903689"/>
    <w:rsid w:val="009041E2"/>
    <w:rsid w:val="00905371"/>
    <w:rsid w:val="00906082"/>
    <w:rsid w:val="00906FE1"/>
    <w:rsid w:val="0091172E"/>
    <w:rsid w:val="00912CCB"/>
    <w:rsid w:val="0091331F"/>
    <w:rsid w:val="00915BB9"/>
    <w:rsid w:val="009171A8"/>
    <w:rsid w:val="009227CE"/>
    <w:rsid w:val="0092377B"/>
    <w:rsid w:val="00923E9A"/>
    <w:rsid w:val="0092674E"/>
    <w:rsid w:val="00930B67"/>
    <w:rsid w:val="00931FFD"/>
    <w:rsid w:val="0093477D"/>
    <w:rsid w:val="00935285"/>
    <w:rsid w:val="009377AE"/>
    <w:rsid w:val="009406AD"/>
    <w:rsid w:val="00941CC3"/>
    <w:rsid w:val="00943109"/>
    <w:rsid w:val="009460F5"/>
    <w:rsid w:val="00947833"/>
    <w:rsid w:val="00950ECA"/>
    <w:rsid w:val="00951B9F"/>
    <w:rsid w:val="00955B6A"/>
    <w:rsid w:val="009577F9"/>
    <w:rsid w:val="00961C3B"/>
    <w:rsid w:val="00963573"/>
    <w:rsid w:val="009673F1"/>
    <w:rsid w:val="0097302C"/>
    <w:rsid w:val="0097449A"/>
    <w:rsid w:val="00974C35"/>
    <w:rsid w:val="00977506"/>
    <w:rsid w:val="00982F55"/>
    <w:rsid w:val="00983358"/>
    <w:rsid w:val="0098706C"/>
    <w:rsid w:val="00990FC6"/>
    <w:rsid w:val="00991FE1"/>
    <w:rsid w:val="00992483"/>
    <w:rsid w:val="009A183C"/>
    <w:rsid w:val="009A1AAF"/>
    <w:rsid w:val="009A1FC1"/>
    <w:rsid w:val="009A600E"/>
    <w:rsid w:val="009B515D"/>
    <w:rsid w:val="009B5ABE"/>
    <w:rsid w:val="009B7DA3"/>
    <w:rsid w:val="009C44C9"/>
    <w:rsid w:val="009C4B9F"/>
    <w:rsid w:val="009C5431"/>
    <w:rsid w:val="009D10C5"/>
    <w:rsid w:val="009D1CF0"/>
    <w:rsid w:val="009D2BAB"/>
    <w:rsid w:val="009D2E35"/>
    <w:rsid w:val="009D3125"/>
    <w:rsid w:val="009D3C1B"/>
    <w:rsid w:val="009D4FC5"/>
    <w:rsid w:val="009E04BA"/>
    <w:rsid w:val="009E0F7A"/>
    <w:rsid w:val="009E3385"/>
    <w:rsid w:val="009E603A"/>
    <w:rsid w:val="009E63F5"/>
    <w:rsid w:val="009E6D4D"/>
    <w:rsid w:val="009F0EDB"/>
    <w:rsid w:val="009F219B"/>
    <w:rsid w:val="009F24E1"/>
    <w:rsid w:val="009F2BCF"/>
    <w:rsid w:val="009F4702"/>
    <w:rsid w:val="009F4B1A"/>
    <w:rsid w:val="009F57BE"/>
    <w:rsid w:val="009F5E27"/>
    <w:rsid w:val="009F63CE"/>
    <w:rsid w:val="009F6CBA"/>
    <w:rsid w:val="00A00F87"/>
    <w:rsid w:val="00A0123A"/>
    <w:rsid w:val="00A012E5"/>
    <w:rsid w:val="00A03CF9"/>
    <w:rsid w:val="00A05A1C"/>
    <w:rsid w:val="00A11A5C"/>
    <w:rsid w:val="00A12DA0"/>
    <w:rsid w:val="00A143CF"/>
    <w:rsid w:val="00A1738E"/>
    <w:rsid w:val="00A20B8E"/>
    <w:rsid w:val="00A212E3"/>
    <w:rsid w:val="00A24390"/>
    <w:rsid w:val="00A251D8"/>
    <w:rsid w:val="00A263B2"/>
    <w:rsid w:val="00A27E9A"/>
    <w:rsid w:val="00A305A6"/>
    <w:rsid w:val="00A30E85"/>
    <w:rsid w:val="00A3139E"/>
    <w:rsid w:val="00A3219C"/>
    <w:rsid w:val="00A3568F"/>
    <w:rsid w:val="00A366B4"/>
    <w:rsid w:val="00A3682D"/>
    <w:rsid w:val="00A41DF9"/>
    <w:rsid w:val="00A4666F"/>
    <w:rsid w:val="00A54554"/>
    <w:rsid w:val="00A54A1A"/>
    <w:rsid w:val="00A6019E"/>
    <w:rsid w:val="00A64B64"/>
    <w:rsid w:val="00A66492"/>
    <w:rsid w:val="00A6715F"/>
    <w:rsid w:val="00A74635"/>
    <w:rsid w:val="00A75653"/>
    <w:rsid w:val="00A756EC"/>
    <w:rsid w:val="00A75AC9"/>
    <w:rsid w:val="00A75E78"/>
    <w:rsid w:val="00A76EB1"/>
    <w:rsid w:val="00A801FD"/>
    <w:rsid w:val="00A80802"/>
    <w:rsid w:val="00A820E4"/>
    <w:rsid w:val="00A84AA1"/>
    <w:rsid w:val="00A85BF7"/>
    <w:rsid w:val="00A86867"/>
    <w:rsid w:val="00A87483"/>
    <w:rsid w:val="00A901A2"/>
    <w:rsid w:val="00A907C7"/>
    <w:rsid w:val="00A9100F"/>
    <w:rsid w:val="00A913DE"/>
    <w:rsid w:val="00A91B86"/>
    <w:rsid w:val="00A944CD"/>
    <w:rsid w:val="00A946AD"/>
    <w:rsid w:val="00A947B4"/>
    <w:rsid w:val="00A949DD"/>
    <w:rsid w:val="00A97346"/>
    <w:rsid w:val="00AA03F3"/>
    <w:rsid w:val="00AA0FE9"/>
    <w:rsid w:val="00AA3323"/>
    <w:rsid w:val="00AA4530"/>
    <w:rsid w:val="00AA7359"/>
    <w:rsid w:val="00AA7778"/>
    <w:rsid w:val="00AB0156"/>
    <w:rsid w:val="00AB0887"/>
    <w:rsid w:val="00AB504B"/>
    <w:rsid w:val="00AB528E"/>
    <w:rsid w:val="00AB5F6B"/>
    <w:rsid w:val="00AB7AA7"/>
    <w:rsid w:val="00AC0931"/>
    <w:rsid w:val="00AC0A52"/>
    <w:rsid w:val="00AC3F12"/>
    <w:rsid w:val="00AC574F"/>
    <w:rsid w:val="00AC5CB9"/>
    <w:rsid w:val="00AC65DB"/>
    <w:rsid w:val="00AD3D9B"/>
    <w:rsid w:val="00AD3EEA"/>
    <w:rsid w:val="00AD49EC"/>
    <w:rsid w:val="00AD6754"/>
    <w:rsid w:val="00AD75E7"/>
    <w:rsid w:val="00AE2AFF"/>
    <w:rsid w:val="00AE6AEA"/>
    <w:rsid w:val="00AE6BE5"/>
    <w:rsid w:val="00AF04FF"/>
    <w:rsid w:val="00AF0ED1"/>
    <w:rsid w:val="00AF1857"/>
    <w:rsid w:val="00AF1F76"/>
    <w:rsid w:val="00AF3B5D"/>
    <w:rsid w:val="00B003B2"/>
    <w:rsid w:val="00B02189"/>
    <w:rsid w:val="00B02442"/>
    <w:rsid w:val="00B11584"/>
    <w:rsid w:val="00B116DE"/>
    <w:rsid w:val="00B12D7C"/>
    <w:rsid w:val="00B134EA"/>
    <w:rsid w:val="00B1514E"/>
    <w:rsid w:val="00B16082"/>
    <w:rsid w:val="00B167B1"/>
    <w:rsid w:val="00B17357"/>
    <w:rsid w:val="00B17E31"/>
    <w:rsid w:val="00B223EC"/>
    <w:rsid w:val="00B233E6"/>
    <w:rsid w:val="00B2397A"/>
    <w:rsid w:val="00B274EA"/>
    <w:rsid w:val="00B305E5"/>
    <w:rsid w:val="00B31C7F"/>
    <w:rsid w:val="00B33068"/>
    <w:rsid w:val="00B33308"/>
    <w:rsid w:val="00B40E39"/>
    <w:rsid w:val="00B43479"/>
    <w:rsid w:val="00B511D4"/>
    <w:rsid w:val="00B52396"/>
    <w:rsid w:val="00B52CCD"/>
    <w:rsid w:val="00B53728"/>
    <w:rsid w:val="00B54608"/>
    <w:rsid w:val="00B62C1A"/>
    <w:rsid w:val="00B6548C"/>
    <w:rsid w:val="00B66CF5"/>
    <w:rsid w:val="00B736D1"/>
    <w:rsid w:val="00B73A1C"/>
    <w:rsid w:val="00B8106B"/>
    <w:rsid w:val="00B81DE5"/>
    <w:rsid w:val="00B924CE"/>
    <w:rsid w:val="00B936B1"/>
    <w:rsid w:val="00B957E9"/>
    <w:rsid w:val="00B96933"/>
    <w:rsid w:val="00B96E41"/>
    <w:rsid w:val="00BA04BA"/>
    <w:rsid w:val="00BA1111"/>
    <w:rsid w:val="00BA30AF"/>
    <w:rsid w:val="00BA59B0"/>
    <w:rsid w:val="00BA676C"/>
    <w:rsid w:val="00BA79FE"/>
    <w:rsid w:val="00BB391A"/>
    <w:rsid w:val="00BB476F"/>
    <w:rsid w:val="00BB5F04"/>
    <w:rsid w:val="00BB6E14"/>
    <w:rsid w:val="00BB7641"/>
    <w:rsid w:val="00BC0550"/>
    <w:rsid w:val="00BC0E25"/>
    <w:rsid w:val="00BC0F23"/>
    <w:rsid w:val="00BC1F72"/>
    <w:rsid w:val="00BC1FF0"/>
    <w:rsid w:val="00BC39D8"/>
    <w:rsid w:val="00BC5210"/>
    <w:rsid w:val="00BC531C"/>
    <w:rsid w:val="00BC6ED9"/>
    <w:rsid w:val="00BD0C82"/>
    <w:rsid w:val="00BD436F"/>
    <w:rsid w:val="00BD50F1"/>
    <w:rsid w:val="00BD5AB4"/>
    <w:rsid w:val="00BD68A7"/>
    <w:rsid w:val="00BD78A0"/>
    <w:rsid w:val="00BE14D7"/>
    <w:rsid w:val="00BE17A3"/>
    <w:rsid w:val="00BE797C"/>
    <w:rsid w:val="00BF0BF6"/>
    <w:rsid w:val="00BF1BB7"/>
    <w:rsid w:val="00BF1D05"/>
    <w:rsid w:val="00BF5CE2"/>
    <w:rsid w:val="00C002C1"/>
    <w:rsid w:val="00C036C8"/>
    <w:rsid w:val="00C03AEF"/>
    <w:rsid w:val="00C04B9B"/>
    <w:rsid w:val="00C05E8E"/>
    <w:rsid w:val="00C12702"/>
    <w:rsid w:val="00C14F01"/>
    <w:rsid w:val="00C163E8"/>
    <w:rsid w:val="00C244DA"/>
    <w:rsid w:val="00C25F4C"/>
    <w:rsid w:val="00C26C35"/>
    <w:rsid w:val="00C27418"/>
    <w:rsid w:val="00C30C69"/>
    <w:rsid w:val="00C313BC"/>
    <w:rsid w:val="00C31FA9"/>
    <w:rsid w:val="00C330B8"/>
    <w:rsid w:val="00C368C5"/>
    <w:rsid w:val="00C37C44"/>
    <w:rsid w:val="00C420F8"/>
    <w:rsid w:val="00C4263C"/>
    <w:rsid w:val="00C42947"/>
    <w:rsid w:val="00C445AF"/>
    <w:rsid w:val="00C45C9E"/>
    <w:rsid w:val="00C472EB"/>
    <w:rsid w:val="00C4781C"/>
    <w:rsid w:val="00C47CB9"/>
    <w:rsid w:val="00C5082D"/>
    <w:rsid w:val="00C5112F"/>
    <w:rsid w:val="00C51539"/>
    <w:rsid w:val="00C5714E"/>
    <w:rsid w:val="00C64BFC"/>
    <w:rsid w:val="00C66A21"/>
    <w:rsid w:val="00C72DD7"/>
    <w:rsid w:val="00C75170"/>
    <w:rsid w:val="00C76DF8"/>
    <w:rsid w:val="00C76FAB"/>
    <w:rsid w:val="00C80076"/>
    <w:rsid w:val="00C80836"/>
    <w:rsid w:val="00C81C6C"/>
    <w:rsid w:val="00C828E6"/>
    <w:rsid w:val="00C84E42"/>
    <w:rsid w:val="00C8530D"/>
    <w:rsid w:val="00C861CF"/>
    <w:rsid w:val="00C906D4"/>
    <w:rsid w:val="00C913CA"/>
    <w:rsid w:val="00C93267"/>
    <w:rsid w:val="00C9476A"/>
    <w:rsid w:val="00C96979"/>
    <w:rsid w:val="00C9735D"/>
    <w:rsid w:val="00C979A4"/>
    <w:rsid w:val="00CA09D0"/>
    <w:rsid w:val="00CA0CBA"/>
    <w:rsid w:val="00CA2BCD"/>
    <w:rsid w:val="00CA48CF"/>
    <w:rsid w:val="00CA5092"/>
    <w:rsid w:val="00CA58B8"/>
    <w:rsid w:val="00CA70D0"/>
    <w:rsid w:val="00CB0C79"/>
    <w:rsid w:val="00CB2B82"/>
    <w:rsid w:val="00CB30FB"/>
    <w:rsid w:val="00CC4DCE"/>
    <w:rsid w:val="00CC7B33"/>
    <w:rsid w:val="00CD0953"/>
    <w:rsid w:val="00CD0A51"/>
    <w:rsid w:val="00CD57F9"/>
    <w:rsid w:val="00CE11C8"/>
    <w:rsid w:val="00CE27CC"/>
    <w:rsid w:val="00CE2F67"/>
    <w:rsid w:val="00CE6D00"/>
    <w:rsid w:val="00CF0781"/>
    <w:rsid w:val="00CF0847"/>
    <w:rsid w:val="00CF4926"/>
    <w:rsid w:val="00CF51DF"/>
    <w:rsid w:val="00D00AD4"/>
    <w:rsid w:val="00D01AAE"/>
    <w:rsid w:val="00D02502"/>
    <w:rsid w:val="00D033D5"/>
    <w:rsid w:val="00D03512"/>
    <w:rsid w:val="00D03689"/>
    <w:rsid w:val="00D042C7"/>
    <w:rsid w:val="00D055A1"/>
    <w:rsid w:val="00D06047"/>
    <w:rsid w:val="00D103A0"/>
    <w:rsid w:val="00D11F75"/>
    <w:rsid w:val="00D124FF"/>
    <w:rsid w:val="00D1620A"/>
    <w:rsid w:val="00D175AC"/>
    <w:rsid w:val="00D17CE8"/>
    <w:rsid w:val="00D234B1"/>
    <w:rsid w:val="00D30957"/>
    <w:rsid w:val="00D327C0"/>
    <w:rsid w:val="00D4083E"/>
    <w:rsid w:val="00D42146"/>
    <w:rsid w:val="00D42441"/>
    <w:rsid w:val="00D42563"/>
    <w:rsid w:val="00D4413B"/>
    <w:rsid w:val="00D4526F"/>
    <w:rsid w:val="00D45E24"/>
    <w:rsid w:val="00D503F8"/>
    <w:rsid w:val="00D50FB8"/>
    <w:rsid w:val="00D53617"/>
    <w:rsid w:val="00D536B2"/>
    <w:rsid w:val="00D56F75"/>
    <w:rsid w:val="00D5741F"/>
    <w:rsid w:val="00D60140"/>
    <w:rsid w:val="00D62BA4"/>
    <w:rsid w:val="00D64B8C"/>
    <w:rsid w:val="00D650C0"/>
    <w:rsid w:val="00D66D87"/>
    <w:rsid w:val="00D67F9C"/>
    <w:rsid w:val="00D750F7"/>
    <w:rsid w:val="00D75397"/>
    <w:rsid w:val="00D776B1"/>
    <w:rsid w:val="00D80E72"/>
    <w:rsid w:val="00D812AB"/>
    <w:rsid w:val="00D84161"/>
    <w:rsid w:val="00D846F4"/>
    <w:rsid w:val="00D84797"/>
    <w:rsid w:val="00D93E08"/>
    <w:rsid w:val="00D943D0"/>
    <w:rsid w:val="00D9749D"/>
    <w:rsid w:val="00DA1D30"/>
    <w:rsid w:val="00DA45AB"/>
    <w:rsid w:val="00DA5141"/>
    <w:rsid w:val="00DB0B08"/>
    <w:rsid w:val="00DB2A7D"/>
    <w:rsid w:val="00DB7760"/>
    <w:rsid w:val="00DC1571"/>
    <w:rsid w:val="00DC308E"/>
    <w:rsid w:val="00DC54A2"/>
    <w:rsid w:val="00DC5CD2"/>
    <w:rsid w:val="00DC6185"/>
    <w:rsid w:val="00DC6ECE"/>
    <w:rsid w:val="00DD31AB"/>
    <w:rsid w:val="00DD338B"/>
    <w:rsid w:val="00DD41FE"/>
    <w:rsid w:val="00DD6133"/>
    <w:rsid w:val="00DE42F4"/>
    <w:rsid w:val="00DE67E2"/>
    <w:rsid w:val="00DE6F6E"/>
    <w:rsid w:val="00DE7E6B"/>
    <w:rsid w:val="00DE7FF6"/>
    <w:rsid w:val="00DF49AB"/>
    <w:rsid w:val="00DF6740"/>
    <w:rsid w:val="00DF786B"/>
    <w:rsid w:val="00E010F7"/>
    <w:rsid w:val="00E05C50"/>
    <w:rsid w:val="00E14BBA"/>
    <w:rsid w:val="00E1732C"/>
    <w:rsid w:val="00E218E9"/>
    <w:rsid w:val="00E23538"/>
    <w:rsid w:val="00E23E69"/>
    <w:rsid w:val="00E2499F"/>
    <w:rsid w:val="00E24CE6"/>
    <w:rsid w:val="00E27A87"/>
    <w:rsid w:val="00E31A2E"/>
    <w:rsid w:val="00E34192"/>
    <w:rsid w:val="00E35A82"/>
    <w:rsid w:val="00E35A88"/>
    <w:rsid w:val="00E36F19"/>
    <w:rsid w:val="00E419E5"/>
    <w:rsid w:val="00E4243E"/>
    <w:rsid w:val="00E42F88"/>
    <w:rsid w:val="00E43763"/>
    <w:rsid w:val="00E50C66"/>
    <w:rsid w:val="00E50E75"/>
    <w:rsid w:val="00E514A1"/>
    <w:rsid w:val="00E51A74"/>
    <w:rsid w:val="00E51EB8"/>
    <w:rsid w:val="00E520C1"/>
    <w:rsid w:val="00E53599"/>
    <w:rsid w:val="00E57451"/>
    <w:rsid w:val="00E605B9"/>
    <w:rsid w:val="00E63FE7"/>
    <w:rsid w:val="00E64F87"/>
    <w:rsid w:val="00E73CDB"/>
    <w:rsid w:val="00E81CAF"/>
    <w:rsid w:val="00E82CE9"/>
    <w:rsid w:val="00E834C2"/>
    <w:rsid w:val="00E8446D"/>
    <w:rsid w:val="00E86855"/>
    <w:rsid w:val="00E90835"/>
    <w:rsid w:val="00E9249A"/>
    <w:rsid w:val="00E92695"/>
    <w:rsid w:val="00E930E9"/>
    <w:rsid w:val="00E95012"/>
    <w:rsid w:val="00E9542F"/>
    <w:rsid w:val="00E95B59"/>
    <w:rsid w:val="00E95F44"/>
    <w:rsid w:val="00E96A39"/>
    <w:rsid w:val="00EA0FD2"/>
    <w:rsid w:val="00EA4306"/>
    <w:rsid w:val="00EB0715"/>
    <w:rsid w:val="00EB300B"/>
    <w:rsid w:val="00EB3977"/>
    <w:rsid w:val="00EC340B"/>
    <w:rsid w:val="00EC55B1"/>
    <w:rsid w:val="00EC5B2A"/>
    <w:rsid w:val="00EC6EA2"/>
    <w:rsid w:val="00EC76EC"/>
    <w:rsid w:val="00EC784F"/>
    <w:rsid w:val="00ED2A53"/>
    <w:rsid w:val="00ED33F9"/>
    <w:rsid w:val="00ED67D3"/>
    <w:rsid w:val="00ED72C5"/>
    <w:rsid w:val="00EE09E7"/>
    <w:rsid w:val="00EE190A"/>
    <w:rsid w:val="00EE2439"/>
    <w:rsid w:val="00EE302D"/>
    <w:rsid w:val="00EE3406"/>
    <w:rsid w:val="00EF5874"/>
    <w:rsid w:val="00EF608A"/>
    <w:rsid w:val="00EF7562"/>
    <w:rsid w:val="00F003ED"/>
    <w:rsid w:val="00F01802"/>
    <w:rsid w:val="00F04C54"/>
    <w:rsid w:val="00F07A33"/>
    <w:rsid w:val="00F13395"/>
    <w:rsid w:val="00F13DCA"/>
    <w:rsid w:val="00F145B8"/>
    <w:rsid w:val="00F21524"/>
    <w:rsid w:val="00F223D5"/>
    <w:rsid w:val="00F225A7"/>
    <w:rsid w:val="00F23F70"/>
    <w:rsid w:val="00F24614"/>
    <w:rsid w:val="00F24A22"/>
    <w:rsid w:val="00F24D2B"/>
    <w:rsid w:val="00F2510D"/>
    <w:rsid w:val="00F2532A"/>
    <w:rsid w:val="00F261B1"/>
    <w:rsid w:val="00F26376"/>
    <w:rsid w:val="00F26DD1"/>
    <w:rsid w:val="00F317A8"/>
    <w:rsid w:val="00F357D2"/>
    <w:rsid w:val="00F37AB3"/>
    <w:rsid w:val="00F40EFF"/>
    <w:rsid w:val="00F42CE1"/>
    <w:rsid w:val="00F43814"/>
    <w:rsid w:val="00F4536F"/>
    <w:rsid w:val="00F46207"/>
    <w:rsid w:val="00F4659B"/>
    <w:rsid w:val="00F50474"/>
    <w:rsid w:val="00F52219"/>
    <w:rsid w:val="00F55491"/>
    <w:rsid w:val="00F60BAD"/>
    <w:rsid w:val="00F6458C"/>
    <w:rsid w:val="00F7182D"/>
    <w:rsid w:val="00F742B8"/>
    <w:rsid w:val="00F75F03"/>
    <w:rsid w:val="00F85E0D"/>
    <w:rsid w:val="00F9190D"/>
    <w:rsid w:val="00F9344D"/>
    <w:rsid w:val="00F97A5F"/>
    <w:rsid w:val="00FA1085"/>
    <w:rsid w:val="00FA1150"/>
    <w:rsid w:val="00FA3321"/>
    <w:rsid w:val="00FA3BBB"/>
    <w:rsid w:val="00FA5C01"/>
    <w:rsid w:val="00FC0DDC"/>
    <w:rsid w:val="00FC0EF1"/>
    <w:rsid w:val="00FC148E"/>
    <w:rsid w:val="00FC27D7"/>
    <w:rsid w:val="00FC529F"/>
    <w:rsid w:val="00FC59A8"/>
    <w:rsid w:val="00FC59C3"/>
    <w:rsid w:val="00FC6081"/>
    <w:rsid w:val="00FC6403"/>
    <w:rsid w:val="00FD1EFB"/>
    <w:rsid w:val="00FD4D6D"/>
    <w:rsid w:val="00FD4F45"/>
    <w:rsid w:val="00FE02CF"/>
    <w:rsid w:val="00FE3567"/>
    <w:rsid w:val="00FE4097"/>
    <w:rsid w:val="00FE6427"/>
    <w:rsid w:val="00FE739A"/>
    <w:rsid w:val="00FF1945"/>
    <w:rsid w:val="00FF3C0F"/>
    <w:rsid w:val="00FF516C"/>
    <w:rsid w:val="00FF5779"/>
    <w:rsid w:val="00FF6C27"/>
    <w:rsid w:val="00FF7C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1394</Words>
  <Characters>7946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2023-08-30T09:44:00Z</dcterms:created>
  <dcterms:modified xsi:type="dcterms:W3CDTF">2024-10-28T14:23:00Z</dcterms:modified>
</cp:coreProperties>
</file>