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AA0ED1" w14:textId="1E59D092" w:rsidR="00A53EFF" w:rsidRPr="00A53EFF" w:rsidRDefault="00A53EFF" w:rsidP="00A53EFF">
      <w:pPr>
        <w:spacing w:after="0"/>
        <w:ind w:left="360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A53EFF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Quais Os Diferentes Tipos de Investimento em Renda Fixa?</w:t>
      </w:r>
    </w:p>
    <w:p w14:paraId="3460AAF8" w14:textId="1550AB82" w:rsidR="003E7645" w:rsidRDefault="00A64B64" w:rsidP="00ED6DB4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E53599">
        <w:rPr>
          <w:rFonts w:asciiTheme="minorHAnsi" w:eastAsiaTheme="minorHAnsi" w:hAnsiTheme="minorHAnsi" w:cstheme="minorBidi"/>
          <w:b/>
          <w:i/>
          <w:lang w:eastAsia="en-US"/>
        </w:rPr>
        <w:t>*Carlos Heitor Campani, Ph.D.</w:t>
      </w:r>
    </w:p>
    <w:p w14:paraId="6A8353C5" w14:textId="77777777" w:rsidR="00C947F8" w:rsidRDefault="00C947F8" w:rsidP="00ED6DB4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</w:p>
    <w:p w14:paraId="60CD3417" w14:textId="779302F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Resolvi escrever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dois textos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 respeito dos principais tipos de investimento, respectivamente, em renda fixa e em renda variável. </w:t>
      </w:r>
      <w:r w:rsidR="00F26B00" w:rsidRPr="00F26B00">
        <w:rPr>
          <w:rFonts w:asciiTheme="minorHAnsi" w:eastAsiaTheme="minorHAnsi" w:hAnsiTheme="minorHAnsi" w:cstheme="minorBidi"/>
          <w:color w:val="000000" w:themeColor="text1"/>
          <w:lang w:eastAsia="en-US"/>
        </w:rPr>
        <w:t>A ideia é compartilhar bastante informação e conteúdo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! Ressalto que nesses dois textos não falarei de derivativos, pois estes merecem um </w:t>
      </w:r>
      <w:r w:rsidR="00BD4CBD">
        <w:rPr>
          <w:rFonts w:asciiTheme="minorHAnsi" w:eastAsiaTheme="minorHAnsi" w:hAnsiTheme="minorHAnsi" w:cstheme="minorBidi"/>
          <w:color w:val="000000" w:themeColor="text1"/>
          <w:lang w:eastAsia="en-US"/>
        </w:rPr>
        <w:t>texto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à parte e com explicações mais específicas</w:t>
      </w:r>
      <w:r w:rsidR="00F326C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</w:t>
      </w:r>
      <w:r w:rsidR="00F326C3" w:rsidRPr="00F326C3">
        <w:rPr>
          <w:rFonts w:asciiTheme="minorHAnsi" w:eastAsiaTheme="minorHAnsi" w:hAnsiTheme="minorHAnsi" w:cstheme="minorBidi"/>
          <w:color w:val="000000" w:themeColor="text1"/>
          <w:lang w:eastAsia="en-US"/>
        </w:rPr>
        <w:t>E, na parte da tributação, vou me referir às regras atuais</w:t>
      </w:r>
      <w:r w:rsidR="00F326C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(2025)</w:t>
      </w:r>
      <w:r w:rsidR="00F326C3" w:rsidRPr="00F326C3">
        <w:rPr>
          <w:rFonts w:asciiTheme="minorHAnsi" w:eastAsiaTheme="minorHAnsi" w:hAnsiTheme="minorHAnsi" w:cstheme="minorBidi"/>
          <w:color w:val="000000" w:themeColor="text1"/>
          <w:lang w:eastAsia="en-US"/>
        </w:rPr>
        <w:t>, válidas para investimentos neste ano (pois há chances de mudar efetivamente a partir de 2026).</w:t>
      </w:r>
    </w:p>
    <w:p w14:paraId="3B543C2F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F007C02" w14:textId="1A39117D" w:rsidR="004D0458" w:rsidRPr="004D0458" w:rsidRDefault="004D0458" w:rsidP="004D0458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4D0458">
        <w:rPr>
          <w:rFonts w:asciiTheme="minorHAnsi" w:eastAsiaTheme="minorHAnsi" w:hAnsiTheme="minorHAnsi" w:cstheme="minorBidi"/>
          <w:color w:val="000000" w:themeColor="text1"/>
          <w:lang w:eastAsia="en-US"/>
        </w:rPr>
        <w:t>A primeira coisa importante é diferenciar renda fixa de renda variável, o que já não é algo tão preciso quanto a diferença entre um retângulo e um pentágono. Instrumentos de renda fixa apresentam uma rentabilidade previsível, de acordo com regras pré-estabelecidas. Instrumentos de renda variável não possuem nenhum tipo de regra que defina a rentabilidade futura, mas apenas e, no máximo, previsões de mercado por analistas e estudiosos. Muitos investidores pensam que investir em renda fixa é mais seguro que investir em renda variável, o que muitas vezes é verdade: investir no Tesouro Selic (renda fixa) é bem menos arriscado que comprar ações do IRBR3 (IRB</w:t>
      </w:r>
      <w:r w:rsidR="00A21208">
        <w:rPr>
          <w:rFonts w:asciiTheme="minorHAnsi" w:eastAsiaTheme="minorHAnsi" w:hAnsiTheme="minorHAnsi" w:cstheme="minorBidi"/>
          <w:color w:val="000000" w:themeColor="text1"/>
          <w:lang w:eastAsia="en-US"/>
        </w:rPr>
        <w:t>-Brasil</w:t>
      </w:r>
      <w:r w:rsidRPr="004D045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Ressegur</w:t>
      </w:r>
      <w:r w:rsidR="00A21208">
        <w:rPr>
          <w:rFonts w:asciiTheme="minorHAnsi" w:eastAsiaTheme="minorHAnsi" w:hAnsiTheme="minorHAnsi" w:cstheme="minorBidi"/>
          <w:color w:val="000000" w:themeColor="text1"/>
          <w:lang w:eastAsia="en-US"/>
        </w:rPr>
        <w:t>os</w:t>
      </w:r>
      <w:r w:rsidRPr="004D045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), por exemplo. Mas, essa regra é também imprecisa pois um swap (derivativo) é considerado um instrumento de renda </w:t>
      </w:r>
      <w:proofErr w:type="gramStart"/>
      <w:r w:rsidRPr="004D0458">
        <w:rPr>
          <w:rFonts w:asciiTheme="minorHAnsi" w:eastAsiaTheme="minorHAnsi" w:hAnsiTheme="minorHAnsi" w:cstheme="minorBidi"/>
          <w:color w:val="000000" w:themeColor="text1"/>
          <w:lang w:eastAsia="en-US"/>
        </w:rPr>
        <w:t>fixa</w:t>
      </w:r>
      <w:proofErr w:type="gramEnd"/>
      <w:r w:rsidRPr="004D045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mas, por sua vez, carrega altíssima volatilidade e, portanto, elevado nível de risco. Mesmo os títulos do Tesouro Direto podem ter oscilações bruscas, principalmente os prefixados.</w:t>
      </w:r>
    </w:p>
    <w:p w14:paraId="50A261B2" w14:textId="77777777" w:rsidR="004D0458" w:rsidRPr="004D0458" w:rsidRDefault="004D0458" w:rsidP="004D0458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33A608E" w14:textId="008AC501" w:rsidR="00A53EFF" w:rsidRPr="00A53EFF" w:rsidRDefault="004D0458" w:rsidP="004D0458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4D045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Uma importante distinção entre investimentos de renda fixa e de renda variável diz respeito ao imposto de renda (IR) a pagar, em que pese haver algumas exceções, as quais explicitarei neste artigo e no próximo. Em linhas gerais, ganhos de capital em renda variável são tributados a 15% do lucro (e 20% em operações de </w:t>
      </w:r>
      <w:proofErr w:type="spellStart"/>
      <w:r w:rsidRPr="004D0458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day</w:t>
      </w:r>
      <w:proofErr w:type="spellEnd"/>
      <w:r w:rsidRPr="004D0458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trade</w:t>
      </w:r>
      <w:r w:rsidRPr="004D0458">
        <w:rPr>
          <w:rFonts w:asciiTheme="minorHAnsi" w:eastAsiaTheme="minorHAnsi" w:hAnsiTheme="minorHAnsi" w:cstheme="minorBidi"/>
          <w:color w:val="000000" w:themeColor="text1"/>
          <w:lang w:eastAsia="en-US"/>
        </w:rPr>
        <w:t>). Já ganhos de capital na renda fixa são tributados segundo a tabela abaixo, que é regressiva em função do prazo de investimento contado em dias corridos:</w:t>
      </w:r>
    </w:p>
    <w:p w14:paraId="51971C53" w14:textId="77777777" w:rsidR="00A53EFF" w:rsidRPr="00A53EFF" w:rsidRDefault="00A53EFF" w:rsidP="00BD4CBD">
      <w:pPr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noProof/>
          <w:color w:val="000000" w:themeColor="text1"/>
          <w:lang w:val="en-US" w:eastAsia="en-US"/>
        </w:rPr>
        <w:lastRenderedPageBreak/>
        <w:drawing>
          <wp:inline distT="0" distB="0" distL="0" distR="0" wp14:anchorId="6F11BB96" wp14:editId="1656516C">
            <wp:extent cx="1733550" cy="1104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675D8" w14:textId="77777777" w:rsidR="00A53EFF" w:rsidRDefault="00A53EFF" w:rsidP="00BD4CBD">
      <w:pPr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Tabela de Tributação Regressiva de IR</w:t>
      </w:r>
    </w:p>
    <w:p w14:paraId="77BBEBAA" w14:textId="0B2EFAB4" w:rsidR="00F32878" w:rsidRPr="00A53EFF" w:rsidRDefault="00F32878" w:rsidP="00BD4CBD">
      <w:pPr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F32878">
        <w:rPr>
          <w:rFonts w:asciiTheme="minorHAnsi" w:eastAsiaTheme="minorHAnsi" w:hAnsiTheme="minorHAnsi" w:cstheme="minorBidi"/>
          <w:color w:val="000000" w:themeColor="text1"/>
          <w:lang w:eastAsia="en-US"/>
        </w:rPr>
        <w:t>(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A</w:t>
      </w:r>
      <w:r w:rsidRPr="00F3287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partir de 2026, o IR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poderá</w:t>
      </w:r>
      <w:r w:rsidRPr="00F3287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ser fixo a 17,5% do lucro)</w:t>
      </w:r>
    </w:p>
    <w:p w14:paraId="3783A334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018E386" w14:textId="237C6AD2" w:rsidR="00A53EFF" w:rsidRPr="00A53EFF" w:rsidRDefault="00B05707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B05707">
        <w:rPr>
          <w:rFonts w:asciiTheme="minorHAnsi" w:eastAsiaTheme="minorHAnsi" w:hAnsiTheme="minorHAnsi" w:cstheme="minorBidi"/>
          <w:color w:val="000000" w:themeColor="text1"/>
          <w:lang w:eastAsia="en-US"/>
        </w:rPr>
        <w:t>Exemplo: se você comprar um Tesouro Prefixado (LTN) por R$ 800,00 e vendê-lo 200 dias (corridos) após por R$ 900,00 terá realizado um ganho de capital de R$ 100,00 e, portanto, pagará R$ 20,00 (20%) de IR. Dessa forma, você resgatará o valor líquido de R$ 880,00. Preste sempre atenção ao prazo na hora de resgatar investimentos de renda fixa: pode valer a pena esperar alguns dias para cair numa alíquota menor de IR. Além do IR, há muitas vezes IOF (imposto sobre operações financeiras) a pagar caso o prazo de resgate seja inferior a 30 dias corridos. A alíquota de IOF é regressiva e se aplica sobre o lucro</w:t>
      </w:r>
      <w:r w:rsidR="00A53EFF"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:</w:t>
      </w:r>
    </w:p>
    <w:p w14:paraId="65DD5927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7B22653" w14:textId="77777777" w:rsidR="00A53EFF" w:rsidRPr="00A53EFF" w:rsidRDefault="00A53EFF" w:rsidP="00BD4CBD">
      <w:pPr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noProof/>
          <w:color w:val="000000" w:themeColor="text1"/>
          <w:lang w:val="en-US" w:eastAsia="en-US"/>
        </w:rPr>
        <w:drawing>
          <wp:inline distT="0" distB="0" distL="0" distR="0" wp14:anchorId="087E4D51" wp14:editId="7068CEED">
            <wp:extent cx="3167537" cy="2217420"/>
            <wp:effectExtent l="0" t="0" r="0" b="0"/>
            <wp:docPr id="3" name="Picture 2" descr="Tabela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6825D782-F778-4C13-A4F7-AA78150231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Tabela&#10;&#10;Descrição gerada automaticamente">
                      <a:extLst>
                        <a:ext uri="{FF2B5EF4-FFF2-40B4-BE49-F238E27FC236}">
                          <a16:creationId xmlns:a16="http://schemas.microsoft.com/office/drawing/2014/main" id="{6825D782-F778-4C13-A4F7-AA78150231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5685" cy="226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53358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33F6DBF" w14:textId="1ED3C63B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Vamos agora aos principais instrumentos de renda fixa disponíveis no mercado. O foco é para investidores pessoas físicas, já que pessoas jurídicas possuem algumas diferenciações (principalmente tributárias). Ressalto que deixei para </w:t>
      </w:r>
      <w:r w:rsidR="00BD4CBD">
        <w:rPr>
          <w:rFonts w:asciiTheme="minorHAnsi" w:eastAsiaTheme="minorHAnsi" w:hAnsiTheme="minorHAnsi" w:cstheme="minorBidi"/>
          <w:color w:val="000000" w:themeColor="text1"/>
          <w:lang w:eastAsia="en-US"/>
        </w:rPr>
        <w:t>o próximo texto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investimentos tais como: fundos de investimentos em ações (FIA), fundos de investimentos imobiliários (FII), 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 xml:space="preserve">fundos de investimentos multimercado (FIM), fundos cambiais (FC), fundos de investimentos em cotas (FIC) e </w:t>
      </w:r>
      <w:proofErr w:type="spellStart"/>
      <w:r w:rsidRPr="00A53EFF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exchange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-</w:t>
      </w:r>
      <w:r w:rsidRPr="00A53EFF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traded</w:t>
      </w:r>
      <w:proofErr w:type="spellEnd"/>
      <w:r w:rsidRPr="00A53EFF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proofErr w:type="spellStart"/>
      <w:r w:rsidRPr="00A53EFF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funds</w:t>
      </w:r>
      <w:proofErr w:type="spellEnd"/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(ETF), dentre outros.</w:t>
      </w:r>
    </w:p>
    <w:p w14:paraId="0361E366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D5D7D92" w14:textId="21435CD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TÍTULOS PÚBLICOS: </w:t>
      </w:r>
      <w:r w:rsidR="002C6A6C" w:rsidRPr="002C6A6C">
        <w:rPr>
          <w:rFonts w:asciiTheme="minorHAnsi" w:eastAsiaTheme="minorHAnsi" w:hAnsiTheme="minorHAnsi" w:cstheme="minorBidi"/>
          <w:color w:val="000000" w:themeColor="text1"/>
          <w:lang w:eastAsia="en-US"/>
        </w:rPr>
        <w:t>são os títulos que compramos pelo Tesouro Direto, através dos quais emprestamos dinheiro para o nosso país. A liquidez é diária e o mínimo para se investir é o equivalente a 0,01 (1%) do valor de cada título. Os impostos seguem as tabelas acima (IR e IOF). Minha dica: procure corretoras que não cobram taxa de administração (há muitas delas), de forma que a única taxa a pagar será a da B3 (custódia): 0,2% ao ano (sobre o montante total investido). Para o Tesouro Selic, há isenção desta taxa de custódia até o montante investido de R$ 10 mil. Para o Tesouro Renda+ e para o Tesouro Educa+, há isenções segundo regras específicas</w:t>
      </w:r>
      <w:r w:rsidR="00391744" w:rsidRPr="0039174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- </w:t>
      </w:r>
      <w:hyperlink r:id="rId10" w:history="1">
        <w:r w:rsidR="00020610" w:rsidRPr="007114C3">
          <w:rPr>
            <w:rStyle w:val="Hyperlink"/>
            <w:rFonts w:asciiTheme="minorHAnsi" w:eastAsiaTheme="majorEastAsia" w:hAnsiTheme="minorHAnsi" w:cstheme="minorHAnsi"/>
          </w:rPr>
          <w:t>clique aqui para saber tudo a respeito</w:t>
        </w:r>
      </w:hyperlink>
      <w:r w:rsidR="00391744" w:rsidRPr="0039174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</w:t>
      </w:r>
      <w:r w:rsidR="001F3304" w:rsidRPr="001F3304">
        <w:rPr>
          <w:rFonts w:asciiTheme="minorHAnsi" w:eastAsiaTheme="minorHAnsi" w:hAnsiTheme="minorHAnsi" w:cstheme="minorBidi"/>
          <w:color w:val="000000" w:themeColor="text1"/>
          <w:lang w:eastAsia="en-US"/>
        </w:rPr>
        <w:t>A taxa de custódia é paga somente ao receber juros (pagamento de cupons) e no vencimento do título ou, claro, no momento de um resgate antecipado (sempre de forma proporcional ao período de investimento e ao montante investido)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</w:t>
      </w:r>
    </w:p>
    <w:p w14:paraId="66A728BF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5D31801" w14:textId="208F6DED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POUPANÇA: </w:t>
      </w:r>
      <w:r w:rsidR="004C78BF" w:rsidRPr="004C78B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investimento simples e sem necessidade de corretora, além de ser totalmente isento de impostos. Os juros são creditados apenas no “aniversário mensal” e períodos menores que 30 dias </w:t>
      </w:r>
      <w:r w:rsidR="004C78BF" w:rsidRPr="004C78B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não</w:t>
      </w:r>
      <w:r w:rsidR="004C78BF" w:rsidRPr="004C78B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rendem juros. </w:t>
      </w:r>
      <w:r w:rsidR="005356E1" w:rsidRPr="005356E1">
        <w:rPr>
          <w:rFonts w:asciiTheme="minorHAnsi" w:eastAsiaTheme="minorHAnsi" w:hAnsiTheme="minorHAnsi" w:cstheme="minorBidi"/>
          <w:color w:val="000000" w:themeColor="text1"/>
          <w:lang w:eastAsia="en-US"/>
        </w:rPr>
        <w:t>Possui garantia do FGC (Fundo Garantidor de Crédito) para montantes de até R$ 250 mil por CPF e por instituição (limitado a R$ 1 milhão total em um período de 4 anos, independentemente do número de instituições).</w:t>
      </w:r>
      <w:r w:rsidR="004C78BF" w:rsidRPr="004C78B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Quem tem dinheiro na poupança antiga (depósitos até 3/5/2012) recebe 0,5% + TR ao mês. Já a poupança na regra atual está limitada a 70% da taxa SELIC, além da correção pela TR, que nem de longe acompanha a inflação. </w:t>
      </w:r>
      <w:r w:rsidR="00C819A7" w:rsidRPr="00C819A7">
        <w:rPr>
          <w:rFonts w:asciiTheme="minorHAnsi" w:eastAsiaTheme="minorHAnsi" w:hAnsiTheme="minorHAnsi" w:cstheme="minorBidi"/>
          <w:color w:val="000000" w:themeColor="text1"/>
          <w:lang w:eastAsia="en-US"/>
        </w:rPr>
        <w:t>A poupança se tornou um investimento que rende menos que o Tesouro Selic e, portanto, perdeu o interesse.</w:t>
      </w:r>
    </w:p>
    <w:p w14:paraId="7E4CB86C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04C142C" w14:textId="269C9019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DEBÊNTURES: </w:t>
      </w:r>
      <w:r w:rsidR="003A63B7" w:rsidRPr="003A63B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são títulos emitidos por empresas para captar empréstimos. O potencial de retorno é maior que em títulos públicos, mas há risco de calote por vezes considerável, por vezes baixo a depender da empresa que emite o papel. Debêntures não têm a proteção do FGC, são isentas de IOF e pagam IR segundo a tabela regressiva acima. Há debêntures incentivadas (para investimentos em infraestrutura): estas são isentas de IR para investidores </w:t>
      </w:r>
      <w:r w:rsidR="003A63B7" w:rsidRPr="003A63B7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pessoas físicas. Chamo a atenção para o fato de muitas debêntures sofrerem com falta de liquidez: caso o investidor precise vendê-las antes do vencimento, pode ter problemas ou ser forçado a vender com deságio desvantajoso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61AECF72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A594519" w14:textId="0018BE34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LCI</w:t>
      </w:r>
      <w:r w:rsidR="001B505B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,</w:t>
      </w:r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 LCA</w:t>
      </w:r>
      <w:r w:rsidR="001B505B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 e LCD</w:t>
      </w:r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: </w:t>
      </w:r>
      <w:r w:rsidR="001B505B" w:rsidRPr="001B505B">
        <w:rPr>
          <w:rFonts w:asciiTheme="minorHAnsi" w:eastAsiaTheme="minorHAnsi" w:hAnsiTheme="minorHAnsi" w:cstheme="minorBidi"/>
          <w:color w:val="000000" w:themeColor="text1"/>
          <w:lang w:eastAsia="en-US"/>
        </w:rPr>
        <w:t>letras de crédito imobiliário (LCI), do agronegócio (LCA) e d</w:t>
      </w:r>
      <w:r w:rsidR="001E43E5">
        <w:rPr>
          <w:rFonts w:asciiTheme="minorHAnsi" w:eastAsiaTheme="minorHAnsi" w:hAnsiTheme="minorHAnsi" w:cstheme="minorBidi"/>
          <w:color w:val="000000" w:themeColor="text1"/>
          <w:lang w:eastAsia="en-US"/>
        </w:rPr>
        <w:t>e</w:t>
      </w:r>
      <w:r w:rsidR="001B505B" w:rsidRPr="001B505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desenvolvimento (LCD). São títulos emitidos por bancos (no caso de </w:t>
      </w:r>
      <w:proofErr w:type="spellStart"/>
      <w:r w:rsidR="001B505B" w:rsidRPr="001B505B">
        <w:rPr>
          <w:rFonts w:asciiTheme="minorHAnsi" w:eastAsiaTheme="minorHAnsi" w:hAnsiTheme="minorHAnsi" w:cstheme="minorBidi"/>
          <w:color w:val="000000" w:themeColor="text1"/>
          <w:lang w:eastAsia="en-US"/>
        </w:rPr>
        <w:t>LCDs</w:t>
      </w:r>
      <w:proofErr w:type="spellEnd"/>
      <w:r w:rsidR="001B505B" w:rsidRPr="001B505B">
        <w:rPr>
          <w:rFonts w:asciiTheme="minorHAnsi" w:eastAsiaTheme="minorHAnsi" w:hAnsiTheme="minorHAnsi" w:cstheme="minorBidi"/>
          <w:color w:val="000000" w:themeColor="text1"/>
          <w:lang w:eastAsia="en-US"/>
        </w:rPr>
        <w:t>, por bancos de desenvolvimento como o BNDES, o BDMG e o BANDES) com a obrigação de utilizarem os recursos para financiamentos imobiliários, do agronegócio ou de desenvolvimento regional</w:t>
      </w:r>
      <w:r w:rsidR="001E394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ou nacional</w:t>
      </w:r>
      <w:r w:rsidR="001B505B" w:rsidRPr="001B505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respectivamente. Há garantia do FGC nos mesmos moldes que na poupança e são isentas de impostos. Podem ser </w:t>
      </w:r>
      <w:proofErr w:type="spellStart"/>
      <w:r w:rsidR="001B505B" w:rsidRPr="001B505B">
        <w:rPr>
          <w:rFonts w:asciiTheme="minorHAnsi" w:eastAsiaTheme="minorHAnsi" w:hAnsiTheme="minorHAnsi" w:cstheme="minorBidi"/>
          <w:color w:val="000000" w:themeColor="text1"/>
          <w:lang w:eastAsia="en-US"/>
        </w:rPr>
        <w:t>pré</w:t>
      </w:r>
      <w:proofErr w:type="spellEnd"/>
      <w:r w:rsidR="001B505B" w:rsidRPr="001B505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ou pós-fixadas e não há taxas de administração, de performance ou de custódia (assim como a poupança)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1DBC8D27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57FC611" w14:textId="71886864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CRI e CRA: </w:t>
      </w:r>
      <w:r w:rsidR="00BE2052" w:rsidRPr="00BE205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certificados de recebíveis imobiliários (CRI) e do agronegócio (CRA). São títulos emitidos diretamente pelas empresas recebedoras do crédito, através de uma operação de securitização. Contam com a garantia de recebíveis dos emissores, mas não do FGC. São instrumentos também isentos de impostos e podem ser </w:t>
      </w:r>
      <w:proofErr w:type="spellStart"/>
      <w:r w:rsidR="00BE2052" w:rsidRPr="00BE2052">
        <w:rPr>
          <w:rFonts w:asciiTheme="minorHAnsi" w:eastAsiaTheme="minorHAnsi" w:hAnsiTheme="minorHAnsi" w:cstheme="minorBidi"/>
          <w:color w:val="000000" w:themeColor="text1"/>
          <w:lang w:eastAsia="en-US"/>
        </w:rPr>
        <w:t>pré</w:t>
      </w:r>
      <w:proofErr w:type="spellEnd"/>
      <w:r w:rsidR="00BE2052" w:rsidRPr="00BE205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ou pós-fixados. Atenção igualmente para a falta de liquidez nesse mercado</w:t>
      </w:r>
      <w:r w:rsidR="00BE2052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71DE5D27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AA89F58" w14:textId="3F727AB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LETRAS HIPOTECÁRIAS (LH): </w:t>
      </w:r>
      <w:r w:rsidR="004C0867" w:rsidRPr="004C0867">
        <w:rPr>
          <w:rFonts w:asciiTheme="minorHAnsi" w:eastAsiaTheme="minorHAnsi" w:hAnsiTheme="minorHAnsi" w:cstheme="minorBidi"/>
          <w:color w:val="000000" w:themeColor="text1"/>
          <w:lang w:eastAsia="en-US"/>
        </w:rPr>
        <w:t>títulos muito semelhantes às LCIs, ou seja, são emitidos por instituições financeiras, mas lastreados por imóveis hipotecados (financiados). Contam com a proteção do FGC e são isentos de IR (mas não de IOF para operações inferiores a 30 dias)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31F5EEAD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2D2387E" w14:textId="1E74F53D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LETRAS IMOBILIÁRIAS GARANTIDAS (LIG): </w:t>
      </w:r>
      <w:r w:rsidR="00602D63" w:rsidRPr="00602D63">
        <w:rPr>
          <w:rFonts w:asciiTheme="minorHAnsi" w:eastAsiaTheme="minorHAnsi" w:hAnsiTheme="minorHAnsi" w:cstheme="minorBidi"/>
          <w:color w:val="000000" w:themeColor="text1"/>
          <w:lang w:eastAsia="en-US"/>
        </w:rPr>
        <w:t>mesmo princípio dos CRIs, com lastro em recebíveis imobiliários, mas emitidas por instituições financeiras pelo prazo mínimo de dois anos. Não contam com a garantia do FGC, mas são isentas de impostos. Pelo longo prazo de investimento e falta de liquidez no mercado, esses instrumentos precisam oferecer taxas mais atraentes para valerem a pena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15CE04DB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B9CF930" w14:textId="4205E4EE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lastRenderedPageBreak/>
        <w:t xml:space="preserve">CERTIFICADOS </w:t>
      </w:r>
      <w:r w:rsidR="00857AE6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E RECIBOS </w:t>
      </w:r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DE DEPÓSITOS BANCÁRIOS (CDB</w:t>
      </w:r>
      <w:r w:rsidR="00857AE6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 e RDB</w:t>
      </w:r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): </w:t>
      </w:r>
      <w:r w:rsidR="001520E0" w:rsidRPr="001520E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Os CDBs são títulos de dívida bastante comuns emitidos pelos bancos com garantia do FGC e impostos segundo as tabelas acima. Atenção para carências (impossibilidade de resgate por algum período mínimo), muito comuns no mercado atual de CDBs. Os </w:t>
      </w:r>
      <w:proofErr w:type="spellStart"/>
      <w:r w:rsidR="001520E0" w:rsidRPr="001520E0">
        <w:rPr>
          <w:rFonts w:asciiTheme="minorHAnsi" w:eastAsiaTheme="minorHAnsi" w:hAnsiTheme="minorHAnsi" w:cstheme="minorBidi"/>
          <w:color w:val="000000" w:themeColor="text1"/>
          <w:lang w:eastAsia="en-US"/>
        </w:rPr>
        <w:t>RDBs</w:t>
      </w:r>
      <w:proofErr w:type="spellEnd"/>
      <w:r w:rsidR="001520E0" w:rsidRPr="001520E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são instrumentos muito semelhantes, mas intransferíveis e que também podem ser emitidos por sociedades de crédito (mas atualmente são bem menos comuns se comparados com os CDBs)</w:t>
      </w:r>
      <w:r w:rsidR="00857AE6" w:rsidRPr="00857AE6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70105FAE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F338DB9" w14:textId="16437788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LETRAS DE CÂMBIO (LC): </w:t>
      </w:r>
      <w:r w:rsidR="003546E6" w:rsidRPr="003546E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possuem o mesmo princípio dos CDBs, mas são emitidas pelas “financeiras” (instituições financeiras de menor porte). Em geral, há maior risco de calote, mas as </w:t>
      </w:r>
      <w:proofErr w:type="spellStart"/>
      <w:r w:rsidR="003546E6" w:rsidRPr="003546E6">
        <w:rPr>
          <w:rFonts w:asciiTheme="minorHAnsi" w:eastAsiaTheme="minorHAnsi" w:hAnsiTheme="minorHAnsi" w:cstheme="minorBidi"/>
          <w:color w:val="000000" w:themeColor="text1"/>
          <w:lang w:eastAsia="en-US"/>
        </w:rPr>
        <w:t>LCs</w:t>
      </w:r>
      <w:proofErr w:type="spellEnd"/>
      <w:r w:rsidR="003546E6" w:rsidRPr="003546E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contam com garantia do FGC. Impostos são pagos normalmente. Em geral, possuem carências que devem ser consideradas na hora de comparar rentabilidades prometidas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37D0C142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E92CCA7" w14:textId="65B8D3A3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LETRAS FINANCEIRAS (LF): </w:t>
      </w:r>
      <w:r w:rsidR="008404C4" w:rsidRPr="008404C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muito semelhantes aos CDBs e às </w:t>
      </w:r>
      <w:proofErr w:type="spellStart"/>
      <w:r w:rsidR="008404C4" w:rsidRPr="008404C4">
        <w:rPr>
          <w:rFonts w:asciiTheme="minorHAnsi" w:eastAsiaTheme="minorHAnsi" w:hAnsiTheme="minorHAnsi" w:cstheme="minorBidi"/>
          <w:color w:val="000000" w:themeColor="text1"/>
          <w:lang w:eastAsia="en-US"/>
        </w:rPr>
        <w:t>LCs</w:t>
      </w:r>
      <w:proofErr w:type="spellEnd"/>
      <w:r w:rsidR="008404C4" w:rsidRPr="008404C4">
        <w:rPr>
          <w:rFonts w:asciiTheme="minorHAnsi" w:eastAsiaTheme="minorHAnsi" w:hAnsiTheme="minorHAnsi" w:cstheme="minorBidi"/>
          <w:color w:val="000000" w:themeColor="text1"/>
          <w:lang w:eastAsia="en-US"/>
        </w:rPr>
        <w:t>, mas com prazo mínimo de dois anos e valor unitário mínimo de R$ 50 mil. Não contam com FGC e pagam impostos normalmente. Gozam de baixa liquidez no mercado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40C20E0A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FA17AA2" w14:textId="7EDB2509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FUNDOS DE INVESTIMENTOS EM RENDA FIXA (FIRF): </w:t>
      </w:r>
      <w:r w:rsidR="000D2A21" w:rsidRPr="000D2A21">
        <w:rPr>
          <w:rFonts w:asciiTheme="minorHAnsi" w:eastAsiaTheme="minorHAnsi" w:hAnsiTheme="minorHAnsi" w:cstheme="minorBidi"/>
          <w:color w:val="000000" w:themeColor="text1"/>
          <w:lang w:eastAsia="en-US"/>
        </w:rPr>
        <w:t>são fundos que investem em instrumentos de renda fixa (como os apresentados acima). É importante entender a política de investimentos, já que não contam com a garantia do FGC e podem ter níveis de risco muito distintos. Atenção à carência na hora do resgate, pois já vi fundos com carência de 30 dias (ou mais). Pagam impostos normalmente (com antecipação no último dia útil de maio e de novembro) de 15% de IR sobre ganhos (antecipação conhecida como come-cotas), à exceção dos fundos de debêntures incentivadas, que isentam pessoas físicas do IR. Atenção porque há fundos de renda fixa definidos como de curto prazo, o que eleva a tributação para 22,5% até 180 dias corridos ou 20% além deste prazo (e o come-cotas é de 20%): tente fugir deles. Fundos de renda fixa possuem taxa de administração e podem ter taxa de performance.</w:t>
      </w:r>
    </w:p>
    <w:p w14:paraId="20EA935D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22409A9" w14:textId="40B67650" w:rsid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FUNDOS DE INVESTIMENTOS EM DIREITOS CREDITÓRIOS (FIDC): </w:t>
      </w:r>
      <w:r w:rsidR="00D03D3D" w:rsidRPr="00D03D3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são fundos que compram recebíveis de terceiros e, normalmente, possuem créditos de diferentes origens. Para se ter uma ideia, até honorários advocatícios a receber podem ser vendidos por um advogado para </w:t>
      </w:r>
      <w:r w:rsidR="00D03D3D" w:rsidRPr="00D03D3D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 xml:space="preserve">um FIDC. Valores disputados judicialmente também podem ser comprados por FIDCs. Muita atenção para o fato de </w:t>
      </w:r>
      <w:proofErr w:type="spellStart"/>
      <w:r w:rsidR="00D03D3D" w:rsidRPr="00D03D3D">
        <w:rPr>
          <w:rFonts w:asciiTheme="minorHAnsi" w:eastAsiaTheme="minorHAnsi" w:hAnsiTheme="minorHAnsi" w:cstheme="minorBidi"/>
          <w:color w:val="000000" w:themeColor="text1"/>
          <w:lang w:eastAsia="en-US"/>
        </w:rPr>
        <w:t>FICDs</w:t>
      </w:r>
      <w:proofErr w:type="spellEnd"/>
      <w:r w:rsidR="00D03D3D" w:rsidRPr="00D03D3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serem fechados, ou seja, impedem o resgate antes de determinado prazo. </w:t>
      </w:r>
      <w:r w:rsidR="00971578" w:rsidRPr="00971578">
        <w:rPr>
          <w:rFonts w:asciiTheme="minorHAnsi" w:eastAsiaTheme="minorHAnsi" w:hAnsiTheme="minorHAnsi" w:cstheme="minorBidi"/>
          <w:color w:val="000000" w:themeColor="text1"/>
          <w:lang w:eastAsia="en-US"/>
        </w:rPr>
        <w:t>Por todo esse contexto, destinam-se atualmente apenas a investidores qualificados. Paga-se impostos normalmente e eles não contam com o FGC.</w:t>
      </w:r>
    </w:p>
    <w:p w14:paraId="2FB066BB" w14:textId="77777777" w:rsidR="00971578" w:rsidRPr="00A53EFF" w:rsidRDefault="00971578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47DC35C" w14:textId="77777777" w:rsidR="00A53EFF" w:rsidRPr="00A53EFF" w:rsidRDefault="00A53EFF" w:rsidP="00A53EFF">
      <w:pP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DICA PARA A DECLARAÇÃO ANUAL DE IR</w:t>
      </w:r>
    </w:p>
    <w:p w14:paraId="67BC4549" w14:textId="77777777" w:rsidR="00A53EFF" w:rsidRPr="00A53EFF" w:rsidRDefault="00A53EFF" w:rsidP="00A53EFF">
      <w:pP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3CBAE972" w14:textId="02C206FE" w:rsidR="00A53EFF" w:rsidRPr="00A53EFF" w:rsidRDefault="004B3A68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4B3A6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Cabe ressaltar que TODOS os investimentos analisados têm uma característica positiva em comum: a responsabilidade pelo pagamento do IR é da fonte pagadora. Desta forma, o investidor já recebe os valores líquidos de impostos. No início de cada ano, o investidor deve receber da instituição contraparte um documento para a declaração anual e incluir tais investimentos como “Rendimentos Tributados Exclusivamente na Fonte” ou em “Rendimentos Isentos e Não Tributáveis”, quando for o caso. Tais investimentos jamais geram imposto a pagar ou a restituir, </w:t>
      </w:r>
      <w:proofErr w:type="gramStart"/>
      <w:r w:rsidRPr="004B3A68">
        <w:rPr>
          <w:rFonts w:asciiTheme="minorHAnsi" w:eastAsiaTheme="minorHAnsi" w:hAnsiTheme="minorHAnsi" w:cstheme="minorBidi"/>
          <w:color w:val="000000" w:themeColor="text1"/>
          <w:lang w:eastAsia="en-US"/>
        </w:rPr>
        <w:t>mas mesmo assim</w:t>
      </w:r>
      <w:proofErr w:type="gramEnd"/>
      <w:r w:rsidRPr="004B3A6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devem ser declarados para a Receita Federal.</w:t>
      </w:r>
    </w:p>
    <w:p w14:paraId="699A91C7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9D7778D" w14:textId="142C6DE6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Espero que o conteúdo acima seja de valor. Escrevo para vocês! Comentem</w:t>
      </w:r>
      <w:r w:rsidR="00BD4CB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nas minhas redes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caso algum investimento importante de renda fixa não tenha entrado na minha lista. </w:t>
      </w:r>
      <w:r w:rsidR="004B3A68">
        <w:rPr>
          <w:rFonts w:asciiTheme="minorHAnsi" w:eastAsiaTheme="minorHAnsi" w:hAnsiTheme="minorHAnsi" w:cstheme="minorBidi"/>
          <w:color w:val="000000" w:themeColor="text1"/>
          <w:lang w:eastAsia="en-US"/>
        </w:rPr>
        <w:t>Não deixem de ler o artigo similar</w:t>
      </w:r>
      <w:r w:rsidR="009919D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que trata de</w:t>
      </w: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instrumentos de renda variável. Convido a todos vocês me seguirem nas minhas redes sociais @carlosheitorcampani (</w:t>
      </w:r>
      <w:proofErr w:type="spellStart"/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instagram</w:t>
      </w:r>
      <w:proofErr w:type="spellEnd"/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</w:t>
      </w:r>
      <w:proofErr w:type="spellStart"/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youtube</w:t>
      </w:r>
      <w:proofErr w:type="spellEnd"/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977DB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 </w:t>
      </w:r>
      <w:proofErr w:type="spellStart"/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linkedin</w:t>
      </w:r>
      <w:proofErr w:type="spellEnd"/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).</w:t>
      </w:r>
    </w:p>
    <w:p w14:paraId="0A124A85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AC1922D" w14:textId="77777777" w:rsidR="00A53EFF" w:rsidRPr="00A53EFF" w:rsidRDefault="00A53EFF" w:rsidP="00A53EFF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53EFF">
        <w:rPr>
          <w:rFonts w:asciiTheme="minorHAnsi" w:eastAsiaTheme="minorHAnsi" w:hAnsiTheme="minorHAnsi" w:cstheme="minorBidi"/>
          <w:color w:val="000000" w:themeColor="text1"/>
          <w:lang w:eastAsia="en-US"/>
        </w:rPr>
        <w:t>Forte e respeitoso abraço a todos.</w:t>
      </w:r>
    </w:p>
    <w:p w14:paraId="66BAA251" w14:textId="77777777" w:rsidR="00C10D67" w:rsidRPr="00E4535C" w:rsidRDefault="00C10D67" w:rsidP="00C10D67">
      <w:pPr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</w:p>
    <w:p w14:paraId="1EC55CC6" w14:textId="0306AFFA" w:rsidR="00BE797C" w:rsidRPr="00BE797C" w:rsidRDefault="00A64B64" w:rsidP="00862BAF">
      <w:pPr>
        <w:spacing w:after="0"/>
      </w:pP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* </w:t>
      </w:r>
      <w:r w:rsidR="001A5A4A" w:rsidRPr="001A5A4A">
        <w:rPr>
          <w:rFonts w:asciiTheme="minorHAnsi" w:eastAsiaTheme="minorHAnsi" w:hAnsiTheme="minorHAnsi" w:cstheme="minorBidi"/>
          <w:b/>
          <w:i/>
          <w:lang w:eastAsia="en-US"/>
        </w:rPr>
        <w:t xml:space="preserve">Carlos Heitor Campani é PhD em Finanças, Diretor Acadêmico da </w:t>
      </w:r>
      <w:proofErr w:type="spellStart"/>
      <w:r w:rsidR="001A5A4A" w:rsidRPr="001A5A4A">
        <w:rPr>
          <w:rFonts w:asciiTheme="minorHAnsi" w:eastAsiaTheme="minorHAnsi" w:hAnsiTheme="minorHAnsi" w:cstheme="minorBidi"/>
          <w:b/>
          <w:i/>
          <w:lang w:eastAsia="en-US"/>
        </w:rPr>
        <w:t>iluminus</w:t>
      </w:r>
      <w:proofErr w:type="spellEnd"/>
      <w:r w:rsidR="001A5A4A" w:rsidRPr="001A5A4A">
        <w:rPr>
          <w:rFonts w:asciiTheme="minorHAnsi" w:eastAsiaTheme="minorHAnsi" w:hAnsiTheme="minorHAnsi" w:cstheme="minorBidi"/>
          <w:b/>
          <w:i/>
          <w:lang w:eastAsia="en-US"/>
        </w:rPr>
        <w:t xml:space="preserve"> – Academia de Finanças e sócio fundador da CHC </w:t>
      </w:r>
      <w:proofErr w:type="spellStart"/>
      <w:r w:rsidR="001A5A4A" w:rsidRPr="001A5A4A">
        <w:rPr>
          <w:rFonts w:asciiTheme="minorHAnsi" w:eastAsiaTheme="minorHAnsi" w:hAnsiTheme="minorHAnsi" w:cstheme="minorBidi"/>
          <w:b/>
          <w:i/>
          <w:lang w:eastAsia="en-US"/>
        </w:rPr>
        <w:t>Finance</w:t>
      </w:r>
      <w:proofErr w:type="spellEnd"/>
      <w:r w:rsidR="001A5A4A" w:rsidRPr="001A5A4A">
        <w:rPr>
          <w:rFonts w:asciiTheme="minorHAnsi" w:eastAsiaTheme="minorHAnsi" w:hAnsiTheme="minorHAnsi" w:cstheme="minorBidi"/>
          <w:b/>
          <w:i/>
          <w:lang w:eastAsia="en-US"/>
        </w:rPr>
        <w:t xml:space="preserve">. Ele pode ser encontrado em </w:t>
      </w:r>
      <w:hyperlink r:id="rId11" w:history="1">
        <w:r w:rsidR="001A5A4A" w:rsidRPr="001A5A4A">
          <w:rPr>
            <w:rStyle w:val="Hyperlink"/>
            <w:rFonts w:asciiTheme="minorHAnsi" w:eastAsiaTheme="minorHAnsi" w:hAnsiTheme="minorHAnsi" w:cstheme="minorBidi"/>
            <w:b/>
            <w:i/>
            <w:lang w:eastAsia="en-US"/>
          </w:rPr>
          <w:t>www.carlosheitorcampani.com</w:t>
        </w:r>
      </w:hyperlink>
      <w:r w:rsidR="001A5A4A" w:rsidRPr="001A5A4A">
        <w:rPr>
          <w:rFonts w:asciiTheme="minorHAnsi" w:eastAsiaTheme="minorHAnsi" w:hAnsiTheme="minorHAnsi" w:cstheme="minorBidi"/>
          <w:b/>
          <w:i/>
          <w:lang w:eastAsia="en-US"/>
        </w:rPr>
        <w:t xml:space="preserve"> e nas redes sociais: @carlosheitorcampani.</w:t>
      </w:r>
    </w:p>
    <w:sectPr w:rsidR="00BE797C" w:rsidRPr="00BE797C" w:rsidSect="005968C1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8" w:right="1376" w:bottom="1418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0F402" w14:textId="77777777" w:rsidR="002B1612" w:rsidRDefault="002B1612" w:rsidP="004D2193">
      <w:r>
        <w:separator/>
      </w:r>
    </w:p>
  </w:endnote>
  <w:endnote w:type="continuationSeparator" w:id="0">
    <w:p w14:paraId="55275C21" w14:textId="77777777" w:rsidR="002B1612" w:rsidRDefault="002B1612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panose1 w:val="00000000000000000000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02A63" w14:textId="02A2FFA5" w:rsidR="00E010F7" w:rsidRDefault="00E70128" w:rsidP="004D2193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FCF201E" wp14:editId="013462DF">
              <wp:simplePos x="0" y="0"/>
              <wp:positionH relativeFrom="margin">
                <wp:posOffset>2070100</wp:posOffset>
              </wp:positionH>
              <wp:positionV relativeFrom="paragraph">
                <wp:posOffset>346075</wp:posOffset>
              </wp:positionV>
              <wp:extent cx="1958196" cy="422694"/>
              <wp:effectExtent l="0" t="0" r="0" b="0"/>
              <wp:wrapNone/>
              <wp:docPr id="1766387037" name="Caixa de Texto 17663870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8196" cy="4226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87E325" w14:textId="77777777" w:rsidR="00E70128" w:rsidRDefault="00E70128" w:rsidP="00E70128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chcfinance.com.br</w:t>
                          </w:r>
                        </w:p>
                        <w:p w14:paraId="5D21D4F0" w14:textId="77777777" w:rsidR="00E70128" w:rsidRPr="00FC6403" w:rsidRDefault="00E70128" w:rsidP="00E70128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contato@chcfinance.com.br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br/>
                          </w:r>
                          <w:hyperlink r:id="rId1" w:history="1">
                            <w:r w:rsidRPr="00183924">
                              <w:rPr>
                                <w:rStyle w:val="Hyperlink"/>
                                <w:rFonts w:ascii="Bona Nova" w:hAnsi="Bona Nova" w:cs="Bona Nova"/>
                              </w:rPr>
                              <w:t>contato@chcfinance.com.br</w:t>
                            </w:r>
                          </w:hyperlink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CF201E" id="_x0000_t202" coordsize="21600,21600" o:spt="202" path="m,l,21600r21600,l21600,xe">
              <v:stroke joinstyle="miter"/>
              <v:path gradientshapeok="t" o:connecttype="rect"/>
            </v:shapetype>
            <v:shape id="Caixa de Texto 1766387037" o:spid="_x0000_s1026" type="#_x0000_t202" style="position:absolute;left:0;text-align:left;margin-left:163pt;margin-top:27.25pt;width:154.2pt;height:33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" filled="f" stroked="f" strokeweight=".5pt">
              <v:textbox>
                <w:txbxContent>
                  <w:p w14:paraId="2987E325" w14:textId="77777777" w:rsidR="00E70128" w:rsidRDefault="00E70128" w:rsidP="00E70128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chcfinance.com.br</w:t>
                    </w:r>
                  </w:p>
                  <w:p w14:paraId="5D21D4F0" w14:textId="77777777" w:rsidR="00E70128" w:rsidRPr="00FC6403" w:rsidRDefault="00E70128" w:rsidP="00E70128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>
                      <w:rPr>
                        <w:rFonts w:ascii="Bona Nova" w:hAnsi="Bona Nova" w:cs="Bona Nova"/>
                        <w:color w:val="E7D188"/>
                      </w:rPr>
                      <w:t>contato@chcfinance.com.br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br/>
                    </w:r>
                    <w:hyperlink r:id="rId2" w:history="1">
                      <w:r w:rsidRPr="00183924">
                        <w:rPr>
                          <w:rStyle w:val="Hyperlink"/>
                          <w:rFonts w:ascii="Bona Nova" w:hAnsi="Bona Nova" w:cs="Bona Nova"/>
                        </w:rPr>
                        <w:t>contato@chcfinance.com.br</w:t>
                      </w:r>
                    </w:hyperlink>
                    <w:r>
                      <w:rPr>
                        <w:rFonts w:ascii="Bona Nova" w:hAnsi="Bona Nova" w:cs="Bona Nova"/>
                        <w:color w:val="E7D18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7" type="#_x0000_t202" style="position:absolute;left:0;text-align:left;margin-left:0;margin-top:32.7pt;width:134.6pt;height:24.7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10AD2" w14:textId="77777777" w:rsidR="002B1612" w:rsidRDefault="002B1612" w:rsidP="004D2193">
      <w:r>
        <w:separator/>
      </w:r>
    </w:p>
  </w:footnote>
  <w:footnote w:type="continuationSeparator" w:id="0">
    <w:p w14:paraId="46D12029" w14:textId="77777777" w:rsidR="002B1612" w:rsidRDefault="002B1612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977DB7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4D939" w14:textId="6A7416FE" w:rsidR="00E010F7" w:rsidRDefault="00D5446A" w:rsidP="00866539">
    <w:pPr>
      <w:ind w:right="360"/>
    </w:pPr>
    <w:r w:rsidRPr="000C59A7">
      <w:rPr>
        <w:noProof/>
      </w:rPr>
      <w:drawing>
        <wp:anchor distT="0" distB="0" distL="114300" distR="114300" simplePos="0" relativeHeight="251659264" behindDoc="0" locked="0" layoutInCell="1" allowOverlap="1" wp14:anchorId="518066CD" wp14:editId="5DC8DD18">
          <wp:simplePos x="0" y="0"/>
          <wp:positionH relativeFrom="margin">
            <wp:posOffset>2074220</wp:posOffset>
          </wp:positionH>
          <wp:positionV relativeFrom="paragraph">
            <wp:posOffset>-318135</wp:posOffset>
          </wp:positionV>
          <wp:extent cx="1781503" cy="413533"/>
          <wp:effectExtent l="0" t="0" r="0" b="5715"/>
          <wp:wrapNone/>
          <wp:docPr id="1230715678" name="Picture 11" descr="A black and yellow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37E2BD7-F64F-6F0C-D99E-DA5455BC56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black and yellow logo&#10;&#10;Description automatically generated">
                    <a:extLst>
                      <a:ext uri="{FF2B5EF4-FFF2-40B4-BE49-F238E27FC236}">
                        <a16:creationId xmlns:a16="http://schemas.microsoft.com/office/drawing/2014/main" id="{937E2BD7-F64F-6F0C-D99E-DA5455BC56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503" cy="41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6979">
      <w:rPr>
        <w:noProof/>
      </w:rPr>
      <w:drawing>
        <wp:anchor distT="0" distB="0" distL="114300" distR="114300" simplePos="0" relativeHeight="251654144" behindDoc="1" locked="0" layoutInCell="1" allowOverlap="1" wp14:anchorId="2A059F36" wp14:editId="236ADD0F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5824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192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B21F1"/>
    <w:multiLevelType w:val="hybridMultilevel"/>
    <w:tmpl w:val="8D2090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F250A"/>
    <w:multiLevelType w:val="hybridMultilevel"/>
    <w:tmpl w:val="66BE0774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263E4E"/>
    <w:multiLevelType w:val="hybridMultilevel"/>
    <w:tmpl w:val="D46E04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233588"/>
    <w:multiLevelType w:val="hybridMultilevel"/>
    <w:tmpl w:val="B8482D52"/>
    <w:lvl w:ilvl="0" w:tplc="2F369C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FDC6B4D"/>
    <w:multiLevelType w:val="hybridMultilevel"/>
    <w:tmpl w:val="885A734C"/>
    <w:lvl w:ilvl="0" w:tplc="04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0612100">
    <w:abstractNumId w:val="7"/>
  </w:num>
  <w:num w:numId="2" w16cid:durableId="584147039">
    <w:abstractNumId w:val="3"/>
  </w:num>
  <w:num w:numId="3" w16cid:durableId="1713310607">
    <w:abstractNumId w:val="2"/>
  </w:num>
  <w:num w:numId="4" w16cid:durableId="1120028956">
    <w:abstractNumId w:val="5"/>
  </w:num>
  <w:num w:numId="5" w16cid:durableId="756096207">
    <w:abstractNumId w:val="6"/>
  </w:num>
  <w:num w:numId="6" w16cid:durableId="1762288043">
    <w:abstractNumId w:val="4"/>
  </w:num>
  <w:num w:numId="7" w16cid:durableId="2006543480">
    <w:abstractNumId w:val="8"/>
  </w:num>
  <w:num w:numId="8" w16cid:durableId="554195949">
    <w:abstractNumId w:val="1"/>
  </w:num>
  <w:num w:numId="9" w16cid:durableId="1559320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6C43"/>
    <w:rsid w:val="00020610"/>
    <w:rsid w:val="0005035F"/>
    <w:rsid w:val="000608DD"/>
    <w:rsid w:val="000710A7"/>
    <w:rsid w:val="000713F5"/>
    <w:rsid w:val="000724E9"/>
    <w:rsid w:val="000974EC"/>
    <w:rsid w:val="000A64F6"/>
    <w:rsid w:val="000C35AE"/>
    <w:rsid w:val="000D2A21"/>
    <w:rsid w:val="000D2AC9"/>
    <w:rsid w:val="000D4DE4"/>
    <w:rsid w:val="000E2AE7"/>
    <w:rsid w:val="000F4ABA"/>
    <w:rsid w:val="00110BC4"/>
    <w:rsid w:val="00124820"/>
    <w:rsid w:val="00134137"/>
    <w:rsid w:val="00143F7C"/>
    <w:rsid w:val="001520E0"/>
    <w:rsid w:val="0015735C"/>
    <w:rsid w:val="00167D1C"/>
    <w:rsid w:val="00180F09"/>
    <w:rsid w:val="001854C8"/>
    <w:rsid w:val="00187431"/>
    <w:rsid w:val="001917D1"/>
    <w:rsid w:val="001962E8"/>
    <w:rsid w:val="001A2C53"/>
    <w:rsid w:val="001A5040"/>
    <w:rsid w:val="001A5A4A"/>
    <w:rsid w:val="001B505B"/>
    <w:rsid w:val="001B593B"/>
    <w:rsid w:val="001E22FC"/>
    <w:rsid w:val="001E394A"/>
    <w:rsid w:val="001E43E5"/>
    <w:rsid w:val="001F0256"/>
    <w:rsid w:val="001F0F36"/>
    <w:rsid w:val="001F3304"/>
    <w:rsid w:val="001F4648"/>
    <w:rsid w:val="00204504"/>
    <w:rsid w:val="0021096B"/>
    <w:rsid w:val="002206C9"/>
    <w:rsid w:val="00223E4F"/>
    <w:rsid w:val="0023793F"/>
    <w:rsid w:val="00244BE5"/>
    <w:rsid w:val="00245E73"/>
    <w:rsid w:val="00246718"/>
    <w:rsid w:val="002539B1"/>
    <w:rsid w:val="0025521D"/>
    <w:rsid w:val="0027142F"/>
    <w:rsid w:val="0027328E"/>
    <w:rsid w:val="00294A05"/>
    <w:rsid w:val="002A5951"/>
    <w:rsid w:val="002A7B47"/>
    <w:rsid w:val="002B1612"/>
    <w:rsid w:val="002B227C"/>
    <w:rsid w:val="002C08A3"/>
    <w:rsid w:val="002C3239"/>
    <w:rsid w:val="002C580D"/>
    <w:rsid w:val="002C6A0E"/>
    <w:rsid w:val="002C6A6C"/>
    <w:rsid w:val="002D2503"/>
    <w:rsid w:val="002E279F"/>
    <w:rsid w:val="002E3046"/>
    <w:rsid w:val="00302005"/>
    <w:rsid w:val="00305A52"/>
    <w:rsid w:val="00315C75"/>
    <w:rsid w:val="003346F3"/>
    <w:rsid w:val="0034523C"/>
    <w:rsid w:val="003474DC"/>
    <w:rsid w:val="0035305A"/>
    <w:rsid w:val="003546E6"/>
    <w:rsid w:val="00366A9B"/>
    <w:rsid w:val="00367C2B"/>
    <w:rsid w:val="003726D3"/>
    <w:rsid w:val="00383210"/>
    <w:rsid w:val="00390B22"/>
    <w:rsid w:val="00391744"/>
    <w:rsid w:val="003A068C"/>
    <w:rsid w:val="003A63B7"/>
    <w:rsid w:val="003B0E57"/>
    <w:rsid w:val="003B42F4"/>
    <w:rsid w:val="003B6073"/>
    <w:rsid w:val="003C4250"/>
    <w:rsid w:val="003E268C"/>
    <w:rsid w:val="003E46B9"/>
    <w:rsid w:val="003E7587"/>
    <w:rsid w:val="003E7645"/>
    <w:rsid w:val="004017D3"/>
    <w:rsid w:val="00414903"/>
    <w:rsid w:val="004242CE"/>
    <w:rsid w:val="00424DA3"/>
    <w:rsid w:val="004327E5"/>
    <w:rsid w:val="00447492"/>
    <w:rsid w:val="0045047D"/>
    <w:rsid w:val="004540B7"/>
    <w:rsid w:val="00465A38"/>
    <w:rsid w:val="00470802"/>
    <w:rsid w:val="00472DBA"/>
    <w:rsid w:val="00475D27"/>
    <w:rsid w:val="00486616"/>
    <w:rsid w:val="00497FC0"/>
    <w:rsid w:val="004B3A68"/>
    <w:rsid w:val="004C0867"/>
    <w:rsid w:val="004C1E11"/>
    <w:rsid w:val="004C78BF"/>
    <w:rsid w:val="004D0458"/>
    <w:rsid w:val="004D2193"/>
    <w:rsid w:val="004D3CE2"/>
    <w:rsid w:val="004E34F4"/>
    <w:rsid w:val="0050138C"/>
    <w:rsid w:val="0050382E"/>
    <w:rsid w:val="00525A1A"/>
    <w:rsid w:val="005266F1"/>
    <w:rsid w:val="00533009"/>
    <w:rsid w:val="005356E1"/>
    <w:rsid w:val="005441D3"/>
    <w:rsid w:val="0054452C"/>
    <w:rsid w:val="00550038"/>
    <w:rsid w:val="0055139F"/>
    <w:rsid w:val="00553862"/>
    <w:rsid w:val="00555019"/>
    <w:rsid w:val="00562414"/>
    <w:rsid w:val="00563F7A"/>
    <w:rsid w:val="00575C4C"/>
    <w:rsid w:val="005767B1"/>
    <w:rsid w:val="005838F6"/>
    <w:rsid w:val="0058422E"/>
    <w:rsid w:val="0058659E"/>
    <w:rsid w:val="005900E1"/>
    <w:rsid w:val="005968C1"/>
    <w:rsid w:val="005C7A11"/>
    <w:rsid w:val="005D5CB0"/>
    <w:rsid w:val="005E30EE"/>
    <w:rsid w:val="005F63C2"/>
    <w:rsid w:val="00600FDA"/>
    <w:rsid w:val="00602D63"/>
    <w:rsid w:val="00605765"/>
    <w:rsid w:val="00614BD3"/>
    <w:rsid w:val="0061662F"/>
    <w:rsid w:val="0063017C"/>
    <w:rsid w:val="00637ACB"/>
    <w:rsid w:val="00651243"/>
    <w:rsid w:val="00652BF2"/>
    <w:rsid w:val="00671D0B"/>
    <w:rsid w:val="006A085B"/>
    <w:rsid w:val="006B328A"/>
    <w:rsid w:val="006B4D62"/>
    <w:rsid w:val="006D154F"/>
    <w:rsid w:val="006D4DE9"/>
    <w:rsid w:val="006E4A58"/>
    <w:rsid w:val="006E64C6"/>
    <w:rsid w:val="006F38A0"/>
    <w:rsid w:val="007114C3"/>
    <w:rsid w:val="00717A35"/>
    <w:rsid w:val="007234DF"/>
    <w:rsid w:val="00730DA5"/>
    <w:rsid w:val="0073537C"/>
    <w:rsid w:val="00750D39"/>
    <w:rsid w:val="00752059"/>
    <w:rsid w:val="00754435"/>
    <w:rsid w:val="00757DFB"/>
    <w:rsid w:val="00765C50"/>
    <w:rsid w:val="00772DF1"/>
    <w:rsid w:val="00776F73"/>
    <w:rsid w:val="00783126"/>
    <w:rsid w:val="00784537"/>
    <w:rsid w:val="00795312"/>
    <w:rsid w:val="007A344E"/>
    <w:rsid w:val="007A68E2"/>
    <w:rsid w:val="007A747D"/>
    <w:rsid w:val="007B2B89"/>
    <w:rsid w:val="007B2C3C"/>
    <w:rsid w:val="007B3840"/>
    <w:rsid w:val="007C4B0E"/>
    <w:rsid w:val="007D63FE"/>
    <w:rsid w:val="007E6C30"/>
    <w:rsid w:val="00801B7B"/>
    <w:rsid w:val="00804AC7"/>
    <w:rsid w:val="008131C4"/>
    <w:rsid w:val="00822E82"/>
    <w:rsid w:val="00824262"/>
    <w:rsid w:val="00827B27"/>
    <w:rsid w:val="008404C4"/>
    <w:rsid w:val="00842BC9"/>
    <w:rsid w:val="0084376E"/>
    <w:rsid w:val="00843DEB"/>
    <w:rsid w:val="008442A1"/>
    <w:rsid w:val="00844C04"/>
    <w:rsid w:val="00850F4C"/>
    <w:rsid w:val="00857AE6"/>
    <w:rsid w:val="008615C3"/>
    <w:rsid w:val="00862BAF"/>
    <w:rsid w:val="00866539"/>
    <w:rsid w:val="00867233"/>
    <w:rsid w:val="00895F38"/>
    <w:rsid w:val="008A007B"/>
    <w:rsid w:val="008A44DA"/>
    <w:rsid w:val="008D4298"/>
    <w:rsid w:val="008E4842"/>
    <w:rsid w:val="008F22F2"/>
    <w:rsid w:val="00903689"/>
    <w:rsid w:val="009041E2"/>
    <w:rsid w:val="00905371"/>
    <w:rsid w:val="00906FE1"/>
    <w:rsid w:val="009110B4"/>
    <w:rsid w:val="0091331F"/>
    <w:rsid w:val="009171A8"/>
    <w:rsid w:val="00921B19"/>
    <w:rsid w:val="00930B67"/>
    <w:rsid w:val="009406AD"/>
    <w:rsid w:val="0094116A"/>
    <w:rsid w:val="00951B9F"/>
    <w:rsid w:val="0095471A"/>
    <w:rsid w:val="00960212"/>
    <w:rsid w:val="009709BD"/>
    <w:rsid w:val="00971578"/>
    <w:rsid w:val="00974C35"/>
    <w:rsid w:val="00977DB7"/>
    <w:rsid w:val="00981E81"/>
    <w:rsid w:val="0098706C"/>
    <w:rsid w:val="009919D5"/>
    <w:rsid w:val="009D2E35"/>
    <w:rsid w:val="009D4FC5"/>
    <w:rsid w:val="009E6D4D"/>
    <w:rsid w:val="009F020F"/>
    <w:rsid w:val="009F219B"/>
    <w:rsid w:val="009F24E1"/>
    <w:rsid w:val="009F57BE"/>
    <w:rsid w:val="00A012E3"/>
    <w:rsid w:val="00A03CF9"/>
    <w:rsid w:val="00A21208"/>
    <w:rsid w:val="00A366B4"/>
    <w:rsid w:val="00A3682D"/>
    <w:rsid w:val="00A4666F"/>
    <w:rsid w:val="00A46CEF"/>
    <w:rsid w:val="00A53EFF"/>
    <w:rsid w:val="00A64B64"/>
    <w:rsid w:val="00A6715F"/>
    <w:rsid w:val="00A756EC"/>
    <w:rsid w:val="00A75AC9"/>
    <w:rsid w:val="00A75E78"/>
    <w:rsid w:val="00A75EE9"/>
    <w:rsid w:val="00A86867"/>
    <w:rsid w:val="00A901A2"/>
    <w:rsid w:val="00AA0FE9"/>
    <w:rsid w:val="00AA3323"/>
    <w:rsid w:val="00AB7AA7"/>
    <w:rsid w:val="00AC3F12"/>
    <w:rsid w:val="00AC5FD5"/>
    <w:rsid w:val="00AD49EC"/>
    <w:rsid w:val="00AD6754"/>
    <w:rsid w:val="00AE6BE5"/>
    <w:rsid w:val="00AF75BD"/>
    <w:rsid w:val="00B05707"/>
    <w:rsid w:val="00B10BBF"/>
    <w:rsid w:val="00B11584"/>
    <w:rsid w:val="00B16082"/>
    <w:rsid w:val="00B227D3"/>
    <w:rsid w:val="00B233E6"/>
    <w:rsid w:val="00B33308"/>
    <w:rsid w:val="00B376C8"/>
    <w:rsid w:val="00B53728"/>
    <w:rsid w:val="00B62C1A"/>
    <w:rsid w:val="00BA30AF"/>
    <w:rsid w:val="00BB29DC"/>
    <w:rsid w:val="00BC1F72"/>
    <w:rsid w:val="00BC1FF0"/>
    <w:rsid w:val="00BD2CFE"/>
    <w:rsid w:val="00BD4CBD"/>
    <w:rsid w:val="00BE2052"/>
    <w:rsid w:val="00BE797C"/>
    <w:rsid w:val="00BF2126"/>
    <w:rsid w:val="00BF5584"/>
    <w:rsid w:val="00BF5CE2"/>
    <w:rsid w:val="00C01DE4"/>
    <w:rsid w:val="00C036C8"/>
    <w:rsid w:val="00C03AEF"/>
    <w:rsid w:val="00C04B9B"/>
    <w:rsid w:val="00C06242"/>
    <w:rsid w:val="00C10D67"/>
    <w:rsid w:val="00C244DA"/>
    <w:rsid w:val="00C25F4C"/>
    <w:rsid w:val="00C47CB9"/>
    <w:rsid w:val="00C51539"/>
    <w:rsid w:val="00C5325D"/>
    <w:rsid w:val="00C64BFC"/>
    <w:rsid w:val="00C66951"/>
    <w:rsid w:val="00C819A7"/>
    <w:rsid w:val="00C828E6"/>
    <w:rsid w:val="00C838E4"/>
    <w:rsid w:val="00C947F8"/>
    <w:rsid w:val="00C954E8"/>
    <w:rsid w:val="00C96979"/>
    <w:rsid w:val="00CB0568"/>
    <w:rsid w:val="00CB312F"/>
    <w:rsid w:val="00CD68F7"/>
    <w:rsid w:val="00CE11C8"/>
    <w:rsid w:val="00CE42C1"/>
    <w:rsid w:val="00CE447D"/>
    <w:rsid w:val="00CE5523"/>
    <w:rsid w:val="00CE5792"/>
    <w:rsid w:val="00D00AD4"/>
    <w:rsid w:val="00D03D3D"/>
    <w:rsid w:val="00D103A0"/>
    <w:rsid w:val="00D121F2"/>
    <w:rsid w:val="00D23538"/>
    <w:rsid w:val="00D30957"/>
    <w:rsid w:val="00D372CC"/>
    <w:rsid w:val="00D500E0"/>
    <w:rsid w:val="00D50FB8"/>
    <w:rsid w:val="00D53617"/>
    <w:rsid w:val="00D5446A"/>
    <w:rsid w:val="00D64B8C"/>
    <w:rsid w:val="00D66D87"/>
    <w:rsid w:val="00D67F9C"/>
    <w:rsid w:val="00D750F7"/>
    <w:rsid w:val="00D75397"/>
    <w:rsid w:val="00D84797"/>
    <w:rsid w:val="00D90D14"/>
    <w:rsid w:val="00DA2777"/>
    <w:rsid w:val="00DA45AB"/>
    <w:rsid w:val="00DB6548"/>
    <w:rsid w:val="00DC54A2"/>
    <w:rsid w:val="00DC6185"/>
    <w:rsid w:val="00DD31AB"/>
    <w:rsid w:val="00DF49AB"/>
    <w:rsid w:val="00E010F7"/>
    <w:rsid w:val="00E100FD"/>
    <w:rsid w:val="00E14BBA"/>
    <w:rsid w:val="00E23538"/>
    <w:rsid w:val="00E2409E"/>
    <w:rsid w:val="00E24CE6"/>
    <w:rsid w:val="00E440A0"/>
    <w:rsid w:val="00E4535C"/>
    <w:rsid w:val="00E50E75"/>
    <w:rsid w:val="00E51063"/>
    <w:rsid w:val="00E53599"/>
    <w:rsid w:val="00E63FE7"/>
    <w:rsid w:val="00E64F87"/>
    <w:rsid w:val="00E66A54"/>
    <w:rsid w:val="00E70128"/>
    <w:rsid w:val="00E73CDB"/>
    <w:rsid w:val="00E74883"/>
    <w:rsid w:val="00EB300B"/>
    <w:rsid w:val="00EB3977"/>
    <w:rsid w:val="00EB75DD"/>
    <w:rsid w:val="00EC6EA2"/>
    <w:rsid w:val="00EC77B9"/>
    <w:rsid w:val="00ED2A53"/>
    <w:rsid w:val="00ED6DB4"/>
    <w:rsid w:val="00EE190A"/>
    <w:rsid w:val="00EF33A0"/>
    <w:rsid w:val="00EF7562"/>
    <w:rsid w:val="00F01A5A"/>
    <w:rsid w:val="00F20E41"/>
    <w:rsid w:val="00F21524"/>
    <w:rsid w:val="00F261B1"/>
    <w:rsid w:val="00F26376"/>
    <w:rsid w:val="00F26B00"/>
    <w:rsid w:val="00F26DD1"/>
    <w:rsid w:val="00F317A8"/>
    <w:rsid w:val="00F326C3"/>
    <w:rsid w:val="00F32878"/>
    <w:rsid w:val="00F40EFF"/>
    <w:rsid w:val="00F42CE1"/>
    <w:rsid w:val="00F61614"/>
    <w:rsid w:val="00F74D56"/>
    <w:rsid w:val="00FC529F"/>
    <w:rsid w:val="00FC59A8"/>
    <w:rsid w:val="00FC6403"/>
    <w:rsid w:val="00FD4F45"/>
    <w:rsid w:val="00FE02CF"/>
    <w:rsid w:val="00FE4A18"/>
    <w:rsid w:val="00FF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  <w:style w:type="character" w:styleId="FollowedHyperlink">
    <w:name w:val="FollowedHyperlink"/>
    <w:basedOn w:val="DefaultParagraphFont"/>
    <w:uiPriority w:val="99"/>
    <w:semiHidden/>
    <w:unhideWhenUsed/>
    <w:rsid w:val="000710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99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2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rlosheitorcampani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valorinveste.globo.com/blogs/carlos-heitor-campani/coluna/como-calcular-a-renda-mensal-e-os-precos-dos-titulos-educa-e-renda.g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to@chcfinance.com.br" TargetMode="External"/><Relationship Id="rId1" Type="http://schemas.openxmlformats.org/officeDocument/2006/relationships/hyperlink" Target="mailto:contato@chcfinance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1674</Words>
  <Characters>9546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 CHC</cp:lastModifiedBy>
  <cp:revision>40</cp:revision>
  <dcterms:created xsi:type="dcterms:W3CDTF">2023-04-25T19:23:00Z</dcterms:created>
  <dcterms:modified xsi:type="dcterms:W3CDTF">2025-07-10T10:19:00Z</dcterms:modified>
</cp:coreProperties>
</file>